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Page &lt;1&gt;</w:t>
      </w:r>
    </w:p>
    <w:p>
      <w:pPr>
        <w:ind w:left="2220"/>
        <w:spacing w:after="0" w:line="238" w:lineRule="auto"/>
        <w:rPr>
          <w:sz w:val="20"/>
          <w:szCs w:val="20"/>
          <w:color w:val="auto"/>
        </w:rPr>
      </w:pPr>
      <w:r>
        <w:rPr>
          <w:rFonts w:ascii="Courier New" w:cs="Courier New" w:eastAsia="Courier New" w:hAnsi="Courier New"/>
          <w:sz w:val="18"/>
          <w:szCs w:val="18"/>
          <w:color w:val="auto"/>
        </w:rPr>
        <w:t>SECURITIES AND EXCHANGE COMMISSION</w:t>
      </w:r>
    </w:p>
    <w:p>
      <w:pPr>
        <w:spacing w:after="0" w:line="202" w:lineRule="exact"/>
        <w:rPr>
          <w:sz w:val="24"/>
          <w:szCs w:val="24"/>
          <w:color w:val="auto"/>
        </w:rPr>
      </w:pPr>
    </w:p>
    <w:p>
      <w:pPr>
        <w:ind w:left="2640"/>
        <w:spacing w:after="0"/>
        <w:tabs>
          <w:tab w:leader="none" w:pos="4620" w:val="left"/>
        </w:tabs>
        <w:rPr>
          <w:sz w:val="20"/>
          <w:szCs w:val="20"/>
          <w:color w:val="auto"/>
        </w:rPr>
      </w:pPr>
      <w:r>
        <w:rPr>
          <w:rFonts w:ascii="Courier New" w:cs="Courier New" w:eastAsia="Courier New" w:hAnsi="Courier New"/>
          <w:sz w:val="18"/>
          <w:szCs w:val="18"/>
          <w:color w:val="auto"/>
        </w:rPr>
        <w:t>Washington, D. 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Form 8-K</w:t>
      </w:r>
    </w:p>
    <w:p>
      <w:pPr>
        <w:spacing w:after="0" w:line="200" w:lineRule="exact"/>
        <w:rPr>
          <w:sz w:val="24"/>
          <w:szCs w:val="24"/>
          <w:color w:val="auto"/>
        </w:rPr>
      </w:pPr>
    </w:p>
    <w:p>
      <w:pPr>
        <w:spacing w:after="0" w:line="204" w:lineRule="exact"/>
        <w:rPr>
          <w:sz w:val="24"/>
          <w:szCs w:val="24"/>
          <w:color w:val="auto"/>
        </w:rPr>
      </w:pPr>
    </w:p>
    <w:p>
      <w:pPr>
        <w:jc w:val="center"/>
        <w:ind w:right="2199"/>
        <w:spacing w:after="0"/>
        <w:rPr>
          <w:sz w:val="20"/>
          <w:szCs w:val="20"/>
          <w:color w:val="auto"/>
        </w:rPr>
      </w:pPr>
      <w:r>
        <w:rPr>
          <w:rFonts w:ascii="Courier New" w:cs="Courier New" w:eastAsia="Courier New" w:hAnsi="Courier New"/>
          <w:sz w:val="18"/>
          <w:szCs w:val="18"/>
          <w:color w:val="auto"/>
        </w:rPr>
        <w:t>CURRENT REPORT</w:t>
      </w:r>
    </w:p>
    <w:p>
      <w:pPr>
        <w:spacing w:after="0" w:line="207" w:lineRule="exact"/>
        <w:rPr>
          <w:sz w:val="24"/>
          <w:szCs w:val="24"/>
          <w:color w:val="auto"/>
        </w:rPr>
      </w:pPr>
    </w:p>
    <w:p>
      <w:pPr>
        <w:ind w:left="420"/>
        <w:spacing w:after="0"/>
        <w:rPr>
          <w:sz w:val="20"/>
          <w:szCs w:val="20"/>
          <w:color w:val="auto"/>
        </w:rPr>
      </w:pPr>
      <w:r>
        <w:rPr>
          <w:rFonts w:ascii="Courier New" w:cs="Courier New" w:eastAsia="Courier New" w:hAnsi="Courier New"/>
          <w:sz w:val="16"/>
          <w:szCs w:val="16"/>
          <w:color w:val="auto"/>
        </w:rPr>
        <w:t>Pursuant to Section 13 or a5(d) of the Securities Exchange Act of 1934</w:t>
      </w:r>
    </w:p>
    <w:p>
      <w:pPr>
        <w:sectPr>
          <w:pgSz w:w="11900" w:h="16838" w:orient="portrait"/>
          <w:cols w:equalWidth="0" w:num="1">
            <w:col w:w="10219"/>
          </w:cols>
          <w:pgMar w:left="240" w:top="244" w:right="1440" w:bottom="0" w:gutter="0" w:footer="0" w:header="0"/>
        </w:sectPr>
      </w:pPr>
    </w:p>
    <w:p>
      <w:pPr>
        <w:spacing w:after="0" w:line="22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Date of Report</w:t>
      </w:r>
    </w:p>
    <w:p>
      <w:pPr>
        <w:spacing w:after="0" w:line="20" w:lineRule="exact"/>
        <w:rPr>
          <w:sz w:val="24"/>
          <w:szCs w:val="24"/>
          <w:color w:val="auto"/>
        </w:rPr>
      </w:pPr>
      <w:r>
        <w:rPr>
          <w:sz w:val="24"/>
          <w:szCs w:val="24"/>
          <w:color w:val="auto"/>
        </w:rPr>
        <w:br w:type="column"/>
      </w: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June 18, 1999</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ectPr>
          <w:pgSz w:w="11900" w:h="16838" w:orient="portrait"/>
          <w:cols w:equalWidth="0" w:num="2">
            <w:col w:w="1480" w:space="640"/>
            <w:col w:w="8099"/>
          </w:cols>
          <w:pgMar w:left="240" w:top="244" w:right="1440" w:bottom="0" w:gutter="0" w:footer="0" w:header="0"/>
          <w:type w:val="continuous"/>
        </w:sectPr>
      </w:pPr>
    </w:p>
    <w:p>
      <w:pPr>
        <w:spacing w:after="0" w:line="18" w:lineRule="exact"/>
        <w:rPr>
          <w:sz w:val="24"/>
          <w:szCs w:val="24"/>
          <w:color w:val="auto"/>
        </w:rPr>
      </w:pPr>
    </w:p>
    <w:p>
      <w:pPr>
        <w:jc w:val="center"/>
        <w:ind w:right="2419"/>
        <w:spacing w:after="0"/>
        <w:rPr>
          <w:sz w:val="20"/>
          <w:szCs w:val="20"/>
          <w:color w:val="auto"/>
        </w:rPr>
      </w:pPr>
      <w:r>
        <w:rPr>
          <w:rFonts w:ascii="Courier New" w:cs="Courier New" w:eastAsia="Courier New" w:hAnsi="Courier New"/>
          <w:sz w:val="18"/>
          <w:szCs w:val="18"/>
          <w:color w:val="auto"/>
        </w:rPr>
        <w:t>InterActive Inc.</w:t>
      </w:r>
    </w:p>
    <w:p>
      <w:pPr>
        <w:jc w:val="center"/>
        <w:ind w:right="2419"/>
        <w:spacing w:after="0" w:line="238" w:lineRule="auto"/>
        <w:rPr>
          <w:sz w:val="20"/>
          <w:szCs w:val="20"/>
          <w:color w:val="auto"/>
        </w:rPr>
      </w:pPr>
      <w:r>
        <w:rPr>
          <w:rFonts w:ascii="Courier New" w:cs="Courier New" w:eastAsia="Courier New" w:hAnsi="Courier New"/>
          <w:sz w:val="18"/>
          <w:szCs w:val="18"/>
          <w:color w:val="auto"/>
        </w:rPr>
        <w:t>----------------</w:t>
      </w:r>
    </w:p>
    <w:p>
      <w:pPr>
        <w:jc w:val="center"/>
        <w:ind w:right="2619"/>
        <w:spacing w:after="0"/>
        <w:rPr>
          <w:sz w:val="20"/>
          <w:szCs w:val="20"/>
          <w:color w:val="auto"/>
        </w:rPr>
      </w:pPr>
      <w:r>
        <w:rPr>
          <w:rFonts w:ascii="Courier New" w:cs="Courier New" w:eastAsia="Courier New" w:hAnsi="Courier New"/>
          <w:sz w:val="18"/>
          <w:szCs w:val="18"/>
          <w:color w:val="auto"/>
        </w:rPr>
        <w:t>(Exact name of registrant as specified in its charter)</w:t>
      </w:r>
    </w:p>
    <w:p>
      <w:pPr>
        <w:spacing w:after="0" w:line="200" w:lineRule="exact"/>
        <w:rPr>
          <w:sz w:val="24"/>
          <w:szCs w:val="24"/>
          <w:color w:val="auto"/>
        </w:rPr>
      </w:pPr>
    </w:p>
    <w:p>
      <w:pPr>
        <w:ind w:left="540"/>
        <w:spacing w:after="0"/>
        <w:tabs>
          <w:tab w:leader="none" w:pos="3360" w:val="left"/>
          <w:tab w:leader="none" w:pos="6420" w:val="left"/>
        </w:tabs>
        <w:rPr>
          <w:sz w:val="20"/>
          <w:szCs w:val="20"/>
          <w:color w:val="auto"/>
        </w:rPr>
      </w:pPr>
      <w:r>
        <w:rPr>
          <w:rFonts w:ascii="Courier New" w:cs="Courier New" w:eastAsia="Courier New" w:hAnsi="Courier New"/>
          <w:sz w:val="18"/>
          <w:szCs w:val="18"/>
          <w:color w:val="auto"/>
        </w:rPr>
        <w:t>South Dakota</w:t>
      </w:r>
      <w:r>
        <w:rPr>
          <w:sz w:val="20"/>
          <w:szCs w:val="20"/>
          <w:color w:val="auto"/>
        </w:rPr>
        <w:tab/>
      </w:r>
      <w:r>
        <w:rPr>
          <w:rFonts w:ascii="Courier New" w:cs="Courier New" w:eastAsia="Courier New" w:hAnsi="Courier New"/>
          <w:sz w:val="18"/>
          <w:szCs w:val="18"/>
          <w:color w:val="auto"/>
        </w:rPr>
        <w:t>000-21898</w:t>
      </w:r>
      <w:r>
        <w:rPr>
          <w:sz w:val="20"/>
          <w:szCs w:val="20"/>
          <w:color w:val="auto"/>
        </w:rPr>
        <w:tab/>
      </w:r>
      <w:r>
        <w:rPr>
          <w:rFonts w:ascii="Courier New" w:cs="Courier New" w:eastAsia="Courier New" w:hAnsi="Courier New"/>
          <w:sz w:val="16"/>
          <w:szCs w:val="16"/>
          <w:color w:val="auto"/>
        </w:rPr>
        <w:t>46-0408024</w:t>
      </w:r>
    </w:p>
    <w:p>
      <w:pPr>
        <w:ind w:left="540"/>
        <w:spacing w:after="0"/>
        <w:tabs>
          <w:tab w:leader="none" w:pos="3360" w:val="left"/>
          <w:tab w:leader="none" w:pos="642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6"/>
          <w:szCs w:val="16"/>
          <w:color w:val="auto"/>
        </w:rPr>
        <w:t>----------</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of Incorporation)(Commission File Number)(IRS Employer Identification No)</w:t>
      </w:r>
    </w:p>
    <w:p>
      <w:pPr>
        <w:spacing w:after="0" w:line="218" w:lineRule="exact"/>
        <w:rPr>
          <w:sz w:val="24"/>
          <w:szCs w:val="24"/>
          <w:color w:val="auto"/>
        </w:rPr>
      </w:pPr>
    </w:p>
    <w:p>
      <w:pPr>
        <w:jc w:val="center"/>
        <w:ind w:right="1999"/>
        <w:spacing w:after="0"/>
        <w:tabs>
          <w:tab w:leader="none" w:pos="180" w:val="left"/>
        </w:tabs>
        <w:rPr>
          <w:sz w:val="20"/>
          <w:szCs w:val="20"/>
          <w:color w:val="auto"/>
        </w:rPr>
      </w:pPr>
      <w:r>
        <w:rPr>
          <w:rFonts w:ascii="Courier New" w:cs="Courier New" w:eastAsia="Courier New" w:hAnsi="Courier New"/>
          <w:sz w:val="18"/>
          <w:szCs w:val="18"/>
          <w:color w:val="auto"/>
        </w:rPr>
        <w:t>204 North Main Street, Humboldt, SD</w:t>
      </w:r>
      <w:r>
        <w:rPr>
          <w:sz w:val="20"/>
          <w:szCs w:val="20"/>
          <w:color w:val="auto"/>
        </w:rPr>
        <w:tab/>
      </w:r>
      <w:r>
        <w:rPr>
          <w:rFonts w:ascii="Courier New" w:cs="Courier New" w:eastAsia="Courier New" w:hAnsi="Courier New"/>
          <w:sz w:val="16"/>
          <w:szCs w:val="16"/>
          <w:color w:val="auto"/>
        </w:rPr>
        <w:t>57035</w:t>
      </w:r>
    </w:p>
    <w:p>
      <w:pPr>
        <w:jc w:val="center"/>
        <w:ind w:right="1999"/>
        <w:spacing w:after="0" w:line="238" w:lineRule="auto"/>
        <w:rPr>
          <w:sz w:val="20"/>
          <w:szCs w:val="20"/>
          <w:color w:val="auto"/>
        </w:rPr>
      </w:pPr>
      <w:r>
        <w:rPr>
          <w:rFonts w:ascii="Courier New" w:cs="Courier New" w:eastAsia="Courier New" w:hAnsi="Courier New"/>
          <w:sz w:val="18"/>
          <w:szCs w:val="18"/>
          <w:color w:val="auto"/>
        </w:rPr>
        <w:t>------------------------------------------</w:t>
      </w:r>
    </w:p>
    <w:p>
      <w:pPr>
        <w:jc w:val="center"/>
        <w:ind w:right="1999"/>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jc w:val="right"/>
        <w:ind w:left="740" w:right="2839"/>
        <w:spacing w:after="0" w:line="235" w:lineRule="auto"/>
        <w:rPr>
          <w:sz w:val="20"/>
          <w:szCs w:val="20"/>
          <w:color w:val="auto"/>
        </w:rPr>
      </w:pPr>
      <w:r>
        <w:rPr>
          <w:rFonts w:ascii="Courier New" w:cs="Courier New" w:eastAsia="Courier New" w:hAnsi="Courier New"/>
          <w:sz w:val="18"/>
          <w:szCs w:val="18"/>
          <w:color w:val="auto"/>
        </w:rPr>
        <w:t>Registrant's telephone number, including area code 605-363-5117 ------------</w:t>
      </w:r>
    </w:p>
    <w:p>
      <w:pPr>
        <w:spacing w:after="0" w:line="208" w:lineRule="exact"/>
        <w:rPr>
          <w:sz w:val="24"/>
          <w:szCs w:val="24"/>
          <w:color w:val="auto"/>
        </w:rPr>
      </w:pPr>
    </w:p>
    <w:p>
      <w:pPr>
        <w:jc w:val="right"/>
        <w:ind w:right="2199"/>
        <w:spacing w:after="0" w:line="235" w:lineRule="auto"/>
        <w:rPr>
          <w:sz w:val="20"/>
          <w:szCs w:val="20"/>
          <w:color w:val="auto"/>
        </w:rPr>
      </w:pPr>
      <w:r>
        <w:rPr>
          <w:rFonts w:ascii="Courier New" w:cs="Courier New" w:eastAsia="Courier New" w:hAnsi="Courier New"/>
          <w:sz w:val="18"/>
          <w:szCs w:val="18"/>
          <w:color w:val="auto"/>
        </w:rPr>
        <w:t>(Former name or former address, if changed since last report) Not applicable --------------</w:t>
      </w:r>
    </w:p>
    <w:p>
      <w:pPr>
        <w:spacing w:after="0"/>
        <w:rPr>
          <w:sz w:val="20"/>
          <w:szCs w:val="20"/>
          <w:color w:val="auto"/>
        </w:rPr>
      </w:pPr>
      <w:r>
        <w:rPr>
          <w:rFonts w:ascii="Courier New" w:cs="Courier New" w:eastAsia="Courier New" w:hAnsi="Courier New"/>
          <w:sz w:val="18"/>
          <w:szCs w:val="18"/>
          <w:color w:val="auto"/>
        </w:rPr>
        <w:t>Page &lt;2&gt;</w:t>
      </w:r>
    </w:p>
    <w:p>
      <w:pPr>
        <w:sectPr>
          <w:pgSz w:w="11900" w:h="16838" w:orient="portrait"/>
          <w:cols w:equalWidth="0" w:num="1">
            <w:col w:w="10219"/>
          </w:cols>
          <w:pgMar w:left="240" w:top="244" w:right="1440" w:bottom="0" w:gutter="0" w:footer="0" w:header="0"/>
          <w:type w:val="continuous"/>
        </w:sectPr>
      </w:pP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5.</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Other Events</w:t>
      </w:r>
    </w:p>
    <w:p>
      <w:pPr>
        <w:spacing w:after="0" w:line="200" w:lineRule="exact"/>
        <w:rPr>
          <w:sz w:val="24"/>
          <w:szCs w:val="24"/>
          <w:color w:val="auto"/>
        </w:rPr>
      </w:pPr>
    </w:p>
    <w:p>
      <w:pPr>
        <w:sectPr>
          <w:pgSz w:w="11900" w:h="16838" w:orient="portrait"/>
          <w:cols w:equalWidth="0" w:num="2">
            <w:col w:w="740" w:space="540"/>
            <w:col w:w="893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Effective June 18, 1999 the Company successfully closed the Offer to Creditors</w:t>
      </w:r>
    </w:p>
    <w:p>
      <w:pPr>
        <w:spacing w:after="0"/>
        <w:tabs>
          <w:tab w:leader="none" w:pos="7880" w:val="left"/>
        </w:tabs>
        <w:rPr>
          <w:sz w:val="20"/>
          <w:szCs w:val="20"/>
          <w:color w:val="auto"/>
        </w:rPr>
      </w:pPr>
      <w:r>
        <w:rPr>
          <w:rFonts w:ascii="Courier New" w:cs="Courier New" w:eastAsia="Courier New" w:hAnsi="Courier New"/>
          <w:sz w:val="18"/>
          <w:szCs w:val="18"/>
          <w:color w:val="auto"/>
        </w:rPr>
        <w:t>(the Offer) which was made to creditors of the Company in December, 1998.</w:t>
      </w:r>
      <w:r>
        <w:rPr>
          <w:sz w:val="20"/>
          <w:szCs w:val="20"/>
          <w:color w:val="auto"/>
        </w:rPr>
        <w:tab/>
      </w:r>
      <w:r>
        <w:rPr>
          <w:rFonts w:ascii="Courier New" w:cs="Courier New" w:eastAsia="Courier New" w:hAnsi="Courier New"/>
          <w:sz w:val="16"/>
          <w:szCs w:val="16"/>
          <w:color w:val="auto"/>
        </w:rPr>
        <w:t>The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holders of approximately $1,599,000 of the Company's previously outstanding debt</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have agreed to accept shares of the Company's common stock in exchange therefor.</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TPR Group, Inc., (together with its affiliated entities, TPR), a related party</w:t>
      </w:r>
    </w:p>
    <w:p>
      <w:pPr>
        <w:spacing w:after="0" w:line="238" w:lineRule="auto"/>
        <w:rPr>
          <w:sz w:val="20"/>
          <w:szCs w:val="20"/>
          <w:color w:val="auto"/>
        </w:rPr>
      </w:pPr>
      <w:r>
        <w:rPr>
          <w:rFonts w:ascii="Courier New" w:cs="Courier New" w:eastAsia="Courier New" w:hAnsi="Courier New"/>
          <w:sz w:val="18"/>
          <w:szCs w:val="18"/>
          <w:color w:val="auto"/>
        </w:rPr>
        <w:t>received 296,298 shares of the Company's Common Stock in exchange for $296,298</w:t>
      </w:r>
    </w:p>
    <w:p>
      <w:pPr>
        <w:spacing w:after="0"/>
        <w:tabs>
          <w:tab w:leader="none" w:pos="2100" w:val="left"/>
        </w:tabs>
        <w:rPr>
          <w:sz w:val="20"/>
          <w:szCs w:val="20"/>
          <w:color w:val="auto"/>
        </w:rPr>
      </w:pPr>
      <w:r>
        <w:rPr>
          <w:rFonts w:ascii="Courier New" w:cs="Courier New" w:eastAsia="Courier New" w:hAnsi="Courier New"/>
          <w:sz w:val="18"/>
          <w:szCs w:val="18"/>
          <w:color w:val="auto"/>
        </w:rPr>
        <w:t>of unsecured debt.</w:t>
      </w:r>
      <w:r>
        <w:rPr>
          <w:sz w:val="20"/>
          <w:szCs w:val="20"/>
          <w:color w:val="auto"/>
        </w:rPr>
        <w:tab/>
      </w:r>
      <w:r>
        <w:rPr>
          <w:rFonts w:ascii="Courier New" w:cs="Courier New" w:eastAsia="Courier New" w:hAnsi="Courier New"/>
          <w:sz w:val="16"/>
          <w:szCs w:val="16"/>
          <w:color w:val="auto"/>
        </w:rPr>
        <w:t>Additionally, TPR acquired 2,000,000 shares of a new series</w:t>
      </w:r>
    </w:p>
    <w:p>
      <w:pPr>
        <w:spacing w:after="0" w:line="237" w:lineRule="auto"/>
        <w:rPr>
          <w:sz w:val="20"/>
          <w:szCs w:val="20"/>
          <w:color w:val="auto"/>
        </w:rPr>
      </w:pPr>
      <w:r>
        <w:rPr>
          <w:rFonts w:ascii="Courier New" w:cs="Courier New" w:eastAsia="Courier New" w:hAnsi="Courier New"/>
          <w:sz w:val="18"/>
          <w:szCs w:val="18"/>
          <w:color w:val="auto"/>
        </w:rPr>
        <w:t>of the Company's authorized but unissued Series B Preferred Stock which is</w:t>
      </w:r>
    </w:p>
    <w:p>
      <w:pPr>
        <w:spacing w:after="0" w:line="238" w:lineRule="auto"/>
        <w:rPr>
          <w:sz w:val="20"/>
          <w:szCs w:val="20"/>
          <w:color w:val="auto"/>
        </w:rPr>
      </w:pPr>
      <w:r>
        <w:rPr>
          <w:rFonts w:ascii="Courier New" w:cs="Courier New" w:eastAsia="Courier New" w:hAnsi="Courier New"/>
          <w:sz w:val="18"/>
          <w:szCs w:val="18"/>
          <w:color w:val="auto"/>
        </w:rPr>
        <w:t>initially convertible to Common Stock on a 10 to one basis and has contributed</w:t>
      </w:r>
    </w:p>
    <w:p>
      <w:pPr>
        <w:spacing w:after="0"/>
        <w:rPr>
          <w:sz w:val="20"/>
          <w:szCs w:val="20"/>
          <w:color w:val="auto"/>
        </w:rPr>
      </w:pPr>
      <w:r>
        <w:rPr>
          <w:rFonts w:ascii="Courier New" w:cs="Courier New" w:eastAsia="Courier New" w:hAnsi="Courier New"/>
          <w:sz w:val="18"/>
          <w:szCs w:val="18"/>
          <w:color w:val="auto"/>
        </w:rPr>
        <w:t>$289,440 in principal and accrued interest secured by a lien on the Company's</w:t>
      </w:r>
    </w:p>
    <w:p>
      <w:pPr>
        <w:spacing w:after="0"/>
        <w:tabs>
          <w:tab w:leader="none" w:pos="4100" w:val="left"/>
        </w:tabs>
        <w:rPr>
          <w:sz w:val="20"/>
          <w:szCs w:val="20"/>
          <w:color w:val="auto"/>
        </w:rPr>
      </w:pPr>
      <w:r>
        <w:rPr>
          <w:rFonts w:ascii="Courier New" w:cs="Courier New" w:eastAsia="Courier New" w:hAnsi="Courier New"/>
          <w:sz w:val="18"/>
          <w:szCs w:val="18"/>
          <w:color w:val="auto"/>
        </w:rPr>
        <w:t>assets to the capital of the Company.</w:t>
      </w:r>
      <w:r>
        <w:rPr>
          <w:sz w:val="20"/>
          <w:szCs w:val="20"/>
          <w:color w:val="auto"/>
        </w:rPr>
        <w:tab/>
      </w:r>
      <w:r>
        <w:rPr>
          <w:rFonts w:ascii="Courier New" w:cs="Courier New" w:eastAsia="Courier New" w:hAnsi="Courier New"/>
          <w:sz w:val="16"/>
          <w:szCs w:val="16"/>
          <w:color w:val="auto"/>
        </w:rPr>
        <w:t>As a consequence of these transactions,</w:t>
      </w:r>
    </w:p>
    <w:p>
      <w:pPr>
        <w:spacing w:after="0"/>
        <w:rPr>
          <w:sz w:val="20"/>
          <w:szCs w:val="20"/>
          <w:color w:val="auto"/>
        </w:rPr>
      </w:pPr>
      <w:r>
        <w:rPr>
          <w:rFonts w:ascii="Courier New" w:cs="Courier New" w:eastAsia="Courier New" w:hAnsi="Courier New"/>
          <w:sz w:val="18"/>
          <w:szCs w:val="18"/>
          <w:color w:val="auto"/>
        </w:rPr>
        <w:t>the Company's outstanding indebtedness has been reduced from approximately</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$2,916,000 at December 8, 1998, to approximately $958,283 at June 18, 1999, and</w:t>
      </w:r>
    </w:p>
    <w:p>
      <w:pPr>
        <w:spacing w:after="0" w:line="2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an aggregate of 25,076,508 shares of common stock (including 20,000,000 issuable</w:t>
      </w:r>
    </w:p>
    <w:p>
      <w:pPr>
        <w:spacing w:after="0" w:line="16" w:lineRule="exact"/>
        <w:rPr>
          <w:sz w:val="24"/>
          <w:szCs w:val="24"/>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to TPR upon conversion of the Series B Preferred Stock) are outstanding.</w:t>
      </w:r>
      <w:r>
        <w:rPr>
          <w:sz w:val="20"/>
          <w:szCs w:val="20"/>
          <w:color w:val="auto"/>
        </w:rPr>
        <w:tab/>
      </w:r>
      <w:r>
        <w:rPr>
          <w:rFonts w:ascii="Courier New" w:cs="Courier New" w:eastAsia="Courier New" w:hAnsi="Courier New"/>
          <w:sz w:val="16"/>
          <w:szCs w:val="16"/>
          <w:color w:val="auto"/>
        </w:rPr>
        <w:t>TPR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has also agreed to exchange an additional $721,000 of the Company's secured debt</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shares of Series C Preferred Stock at a later date, subject to certain</w:t>
      </w:r>
    </w:p>
    <w:p>
      <w:pPr>
        <w:spacing w:after="0"/>
        <w:tabs>
          <w:tab w:leader="none" w:pos="1360" w:val="left"/>
        </w:tabs>
        <w:rPr>
          <w:sz w:val="20"/>
          <w:szCs w:val="20"/>
          <w:color w:val="auto"/>
        </w:rPr>
      </w:pPr>
      <w:r>
        <w:rPr>
          <w:rFonts w:ascii="Courier New" w:cs="Courier New" w:eastAsia="Courier New" w:hAnsi="Courier New"/>
          <w:sz w:val="18"/>
          <w:szCs w:val="18"/>
          <w:color w:val="auto"/>
        </w:rPr>
        <w:t>conditions.</w:t>
      </w:r>
      <w:r>
        <w:rPr>
          <w:sz w:val="20"/>
          <w:szCs w:val="20"/>
          <w:color w:val="auto"/>
        </w:rPr>
        <w:tab/>
      </w:r>
      <w:r>
        <w:rPr>
          <w:rFonts w:ascii="Courier New" w:cs="Courier New" w:eastAsia="Courier New" w:hAnsi="Courier New"/>
          <w:sz w:val="16"/>
          <w:szCs w:val="16"/>
          <w:color w:val="auto"/>
        </w:rPr>
        <w:t>Consummation of this debt-to-equity conversion was publicly</w:t>
      </w:r>
    </w:p>
    <w:p>
      <w:pPr>
        <w:spacing w:after="0"/>
        <w:rPr>
          <w:sz w:val="20"/>
          <w:szCs w:val="20"/>
          <w:color w:val="auto"/>
        </w:rPr>
      </w:pPr>
      <w:r>
        <w:rPr>
          <w:rFonts w:ascii="Courier New" w:cs="Courier New" w:eastAsia="Courier New" w:hAnsi="Courier New"/>
          <w:sz w:val="18"/>
          <w:szCs w:val="18"/>
          <w:color w:val="auto"/>
        </w:rPr>
        <w:t>announced by a Press Release dated June 18, 1999, a copy of which is attached</w:t>
      </w:r>
    </w:p>
    <w:p>
      <w:pPr>
        <w:spacing w:after="0" w:line="237" w:lineRule="auto"/>
        <w:rPr>
          <w:sz w:val="20"/>
          <w:szCs w:val="20"/>
          <w:color w:val="auto"/>
        </w:rPr>
      </w:pPr>
      <w:r>
        <w:rPr>
          <w:rFonts w:ascii="Courier New" w:cs="Courier New" w:eastAsia="Courier New" w:hAnsi="Courier New"/>
          <w:sz w:val="18"/>
          <w:szCs w:val="18"/>
          <w:color w:val="auto"/>
        </w:rPr>
        <w:t>hereto as Exhibit A and incorporated herein by this reference.</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Financial Statements, Pro Forma Financial Information and Exhibits.</w:t>
      </w:r>
    </w:p>
    <w:p>
      <w:pPr>
        <w:spacing w:after="0" w:line="201" w:lineRule="exact"/>
        <w:rPr>
          <w:sz w:val="24"/>
          <w:szCs w:val="24"/>
          <w:color w:val="auto"/>
        </w:rPr>
      </w:pPr>
    </w:p>
    <w:p>
      <w:pPr>
        <w:ind w:left="740" w:hanging="521"/>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 Forma Balance Sheet</w:t>
      </w:r>
    </w:p>
    <w:p>
      <w:pPr>
        <w:spacing w:after="0" w:line="201" w:lineRule="exact"/>
        <w:rPr>
          <w:rFonts w:ascii="Courier New" w:cs="Courier New" w:eastAsia="Courier New" w:hAnsi="Courier New"/>
          <w:sz w:val="18"/>
          <w:szCs w:val="18"/>
          <w:color w:val="auto"/>
        </w:rPr>
      </w:pPr>
    </w:p>
    <w:p>
      <w:pPr>
        <w:ind w:left="740" w:hanging="521"/>
        <w:spacing w:after="0"/>
        <w:tabs>
          <w:tab w:leader="none" w:pos="7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w:t>
      </w:r>
    </w:p>
    <w:p>
      <w:pPr>
        <w:ind w:left="860" w:hanging="325"/>
        <w:spacing w:after="0" w:line="238" w:lineRule="auto"/>
        <w:tabs>
          <w:tab w:leader="none" w:pos="86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Press Release dated June 18, 1999</w:t>
      </w:r>
    </w:p>
    <w:p>
      <w:pPr>
        <w:spacing w:after="0" w:line="202" w:lineRule="exact"/>
        <w:rPr>
          <w:sz w:val="24"/>
          <w:szCs w:val="24"/>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4" w:lineRule="exact"/>
        <w:rPr>
          <w:sz w:val="24"/>
          <w:szCs w:val="24"/>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InterActive Inc.</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4"/>
          <w:szCs w:val="24"/>
          <w:color w:val="auto"/>
        </w:rPr>
      </w:pPr>
    </w:p>
    <w:p>
      <w:pPr>
        <w:ind w:left="5480"/>
        <w:spacing w:after="0"/>
        <w:rPr>
          <w:sz w:val="20"/>
          <w:szCs w:val="20"/>
          <w:color w:val="auto"/>
        </w:rPr>
      </w:pPr>
      <w:r>
        <w:rPr>
          <w:rFonts w:ascii="Courier New" w:cs="Courier New" w:eastAsia="Courier New" w:hAnsi="Courier New"/>
          <w:sz w:val="18"/>
          <w:szCs w:val="18"/>
          <w:color w:val="auto"/>
        </w:rPr>
        <w:t>By:\s\ Robert Stahl</w:t>
      </w:r>
    </w:p>
    <w:p>
      <w:pPr>
        <w:ind w:left="5480"/>
        <w:spacing w:after="0" w:line="238" w:lineRule="auto"/>
        <w:rPr>
          <w:sz w:val="20"/>
          <w:szCs w:val="20"/>
          <w:color w:val="auto"/>
        </w:rPr>
      </w:pPr>
      <w:r>
        <w:rPr>
          <w:rFonts w:ascii="Courier New" w:cs="Courier New" w:eastAsia="Courier New" w:hAnsi="Courier New"/>
          <w:sz w:val="18"/>
          <w:szCs w:val="18"/>
          <w:color w:val="auto"/>
        </w:rPr>
        <w:t>-------------------</w:t>
      </w:r>
    </w:p>
    <w:p>
      <w:pPr>
        <w:ind w:left="5700"/>
        <w:spacing w:after="0"/>
        <w:rPr>
          <w:sz w:val="20"/>
          <w:szCs w:val="20"/>
          <w:color w:val="auto"/>
        </w:rPr>
      </w:pPr>
      <w:r>
        <w:rPr>
          <w:rFonts w:ascii="Courier New" w:cs="Courier New" w:eastAsia="Courier New" w:hAnsi="Courier New"/>
          <w:sz w:val="18"/>
          <w:szCs w:val="18"/>
          <w:color w:val="auto"/>
        </w:rPr>
        <w:t>Robert Stahl</w:t>
      </w:r>
    </w:p>
    <w:p>
      <w:pPr>
        <w:ind w:left="5700"/>
        <w:spacing w:after="0" w:line="237" w:lineRule="auto"/>
        <w:rPr>
          <w:sz w:val="20"/>
          <w:szCs w:val="20"/>
          <w:color w:val="auto"/>
        </w:rPr>
      </w:pPr>
      <w:r>
        <w:rPr>
          <w:rFonts w:ascii="Courier New" w:cs="Courier New" w:eastAsia="Courier New" w:hAnsi="Courier New"/>
          <w:sz w:val="18"/>
          <w:szCs w:val="18"/>
          <w:color w:val="auto"/>
        </w:rPr>
        <w:t>President</w:t>
      </w:r>
    </w:p>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tabs>
          <w:tab w:leader="none" w:pos="6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June 18, 1999</w:t>
      </w:r>
    </w:p>
    <w:p>
      <w:pPr>
        <w:ind w:left="640"/>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&lt;3&gt;</w:t>
      </w:r>
    </w:p>
    <w:p>
      <w:pPr>
        <w:spacing w:after="0" w:line="238" w:lineRule="auto"/>
        <w:rPr>
          <w:sz w:val="20"/>
          <w:szCs w:val="20"/>
          <w:color w:val="auto"/>
        </w:rPr>
      </w:pPr>
      <w:r>
        <w:rPr>
          <w:rFonts w:ascii="Courier New" w:cs="Courier New" w:eastAsia="Courier New" w:hAnsi="Courier New"/>
          <w:sz w:val="18"/>
          <w:szCs w:val="18"/>
          <w:color w:val="auto"/>
        </w:rPr>
        <w:t>Pro Forma Balance Sheet</w:t>
      </w:r>
    </w:p>
    <w:p>
      <w:pPr>
        <w:spacing w:after="0"/>
        <w:rPr>
          <w:sz w:val="20"/>
          <w:szCs w:val="20"/>
          <w:color w:val="auto"/>
        </w:rPr>
      </w:pPr>
      <w:r>
        <w:rPr>
          <w:rFonts w:ascii="Courier New" w:cs="Courier New" w:eastAsia="Courier New" w:hAnsi="Courier New"/>
          <w:sz w:val="18"/>
          <w:szCs w:val="18"/>
          <w:color w:val="auto"/>
        </w:rPr>
        <w:t>The following unaudited pro forma Balance Sheet reflects the estimated effect</w:t>
      </w:r>
    </w:p>
    <w:p>
      <w:pPr>
        <w:spacing w:after="0"/>
        <w:tabs>
          <w:tab w:leader="none" w:pos="7040" w:val="left"/>
        </w:tabs>
        <w:rPr>
          <w:sz w:val="20"/>
          <w:szCs w:val="20"/>
          <w:color w:val="auto"/>
        </w:rPr>
      </w:pPr>
      <w:r>
        <w:rPr>
          <w:rFonts w:ascii="Courier New" w:cs="Courier New" w:eastAsia="Courier New" w:hAnsi="Courier New"/>
          <w:sz w:val="18"/>
          <w:szCs w:val="18"/>
          <w:color w:val="auto"/>
        </w:rPr>
        <w:t>of InterActive's issuance of Common and Preferred Stock for debt.</w:t>
      </w:r>
      <w:r>
        <w:rPr>
          <w:sz w:val="20"/>
          <w:szCs w:val="20"/>
          <w:color w:val="auto"/>
        </w:rPr>
        <w:tab/>
      </w:r>
      <w:r>
        <w:rPr>
          <w:rFonts w:ascii="Courier New" w:cs="Courier New" w:eastAsia="Courier New" w:hAnsi="Courier New"/>
          <w:sz w:val="16"/>
          <w:szCs w:val="16"/>
          <w:color w:val="auto"/>
        </w:rPr>
        <w:t>The pro forma</w:t>
      </w:r>
    </w:p>
    <w:tbl>
      <w:tblPr>
        <w:tblLayout w:type="fixed"/>
        <w:tblInd w:w="0" w:type="dxa"/>
        <w:tblCellMar>
          <w:top w:w="0" w:type="dxa"/>
          <w:left w:w="0" w:type="dxa"/>
          <w:bottom w:w="0" w:type="dxa"/>
          <w:right w:w="0" w:type="dxa"/>
        </w:tblCellMar>
      </w:tblP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financial data does not purport to be</w:t>
            </w: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indicative of</w:t>
            </w:r>
          </w:p>
        </w:tc>
        <w:tc>
          <w:tcPr>
            <w:tcW w:w="2900" w:type="dxa"/>
            <w:vAlign w:val="bottom"/>
            <w:gridSpan w:val="5"/>
          </w:tcPr>
          <w:p>
            <w:pPr>
              <w:jc w:val="right"/>
              <w:ind w:right="32"/>
              <w:spacing w:after="0" w:line="203" w:lineRule="exact"/>
              <w:rPr>
                <w:sz w:val="20"/>
                <w:szCs w:val="20"/>
                <w:color w:val="auto"/>
              </w:rPr>
            </w:pPr>
            <w:r>
              <w:rPr>
                <w:rFonts w:ascii="Courier New" w:cs="Courier New" w:eastAsia="Courier New" w:hAnsi="Courier New"/>
                <w:sz w:val="18"/>
                <w:szCs w:val="18"/>
                <w:color w:val="auto"/>
                <w:w w:val="98"/>
              </w:rPr>
              <w:t>the results which actually</w:t>
            </w:r>
          </w:p>
        </w:tc>
      </w:tr>
      <w:tr>
        <w:trPr>
          <w:trHeight w:val="203"/>
        </w:trPr>
        <w:tc>
          <w:tcPr>
            <w:tcW w:w="6860" w:type="dxa"/>
            <w:vAlign w:val="bottom"/>
            <w:gridSpan w:val="5"/>
          </w:tcPr>
          <w:p>
            <w:pPr>
              <w:spacing w:after="0" w:line="203" w:lineRule="exact"/>
              <w:rPr>
                <w:sz w:val="20"/>
                <w:szCs w:val="20"/>
                <w:color w:val="auto"/>
              </w:rPr>
            </w:pPr>
            <w:r>
              <w:rPr>
                <w:rFonts w:ascii="Courier New" w:cs="Courier New" w:eastAsia="Courier New" w:hAnsi="Courier New"/>
                <w:sz w:val="18"/>
                <w:szCs w:val="18"/>
                <w:color w:val="auto"/>
                <w:w w:val="97"/>
              </w:rPr>
              <w:t>would have been obtained had the Offer been effected on the dates</w:t>
            </w:r>
          </w:p>
        </w:tc>
        <w:tc>
          <w:tcPr>
            <w:tcW w:w="100" w:type="dxa"/>
            <w:vAlign w:val="bottom"/>
          </w:tcPr>
          <w:p>
            <w:pPr>
              <w:spacing w:after="0"/>
              <w:rPr>
                <w:sz w:val="17"/>
                <w:szCs w:val="17"/>
                <w:color w:val="auto"/>
              </w:rPr>
            </w:pPr>
          </w:p>
        </w:tc>
        <w:tc>
          <w:tcPr>
            <w:tcW w:w="138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5"/>
              </w:rPr>
              <w:t>indicated or</w:t>
            </w:r>
          </w:p>
        </w:tc>
      </w:tr>
      <w:tr>
        <w:trPr>
          <w:trHeight w:val="203"/>
        </w:trPr>
        <w:tc>
          <w:tcPr>
            <w:tcW w:w="544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those results which may be obtained in the future.</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5440" w:type="dxa"/>
            <w:vAlign w:val="bottom"/>
            <w:gridSpan w:val="3"/>
          </w:tcPr>
          <w:p>
            <w:pPr>
              <w:ind w:left="3160"/>
              <w:spacing w:after="0"/>
              <w:rPr>
                <w:sz w:val="20"/>
                <w:szCs w:val="20"/>
                <w:color w:val="auto"/>
              </w:rPr>
            </w:pPr>
            <w:r>
              <w:rPr>
                <w:rFonts w:ascii="Courier New" w:cs="Courier New" w:eastAsia="Courier New" w:hAnsi="Courier New"/>
                <w:sz w:val="18"/>
                <w:szCs w:val="18"/>
                <w:color w:val="auto"/>
              </w:rPr>
              <w:t>InterActive Inc.</w:t>
            </w: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5440" w:type="dxa"/>
            <w:vAlign w:val="bottom"/>
            <w:gridSpan w:val="3"/>
          </w:tcPr>
          <w:p>
            <w:pPr>
              <w:ind w:left="2640"/>
              <w:spacing w:after="0" w:line="203" w:lineRule="exact"/>
              <w:rPr>
                <w:sz w:val="20"/>
                <w:szCs w:val="20"/>
                <w:color w:val="auto"/>
              </w:rPr>
            </w:pPr>
            <w:r>
              <w:rPr>
                <w:rFonts w:ascii="Courier New" w:cs="Courier New" w:eastAsia="Courier New" w:hAnsi="Courier New"/>
                <w:sz w:val="18"/>
                <w:szCs w:val="18"/>
                <w:color w:val="auto"/>
              </w:rPr>
              <w:t>Proforma Balance Sheet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gridSpan w:val="3"/>
          </w:tcPr>
          <w:p>
            <w:pPr>
              <w:ind w:left="3160"/>
              <w:spacing w:after="0" w:line="203" w:lineRule="exact"/>
              <w:rPr>
                <w:sz w:val="20"/>
                <w:szCs w:val="20"/>
                <w:color w:val="auto"/>
              </w:rPr>
            </w:pPr>
            <w:r>
              <w:rPr>
                <w:rFonts w:ascii="Courier New" w:cs="Courier New" w:eastAsia="Courier New" w:hAnsi="Courier New"/>
                <w:sz w:val="18"/>
                <w:szCs w:val="18"/>
                <w:color w:val="auto"/>
              </w:rPr>
              <w:t>March 31, 1999</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gridSpan w:val="3"/>
          </w:tcPr>
          <w:p>
            <w:pPr>
              <w:ind w:left="3480"/>
              <w:spacing w:after="0" w:line="203" w:lineRule="exact"/>
              <w:rPr>
                <w:sz w:val="20"/>
                <w:szCs w:val="20"/>
                <w:color w:val="auto"/>
              </w:rPr>
            </w:pPr>
            <w:r>
              <w:rPr>
                <w:rFonts w:ascii="Courier New" w:cs="Courier New" w:eastAsia="Courier New" w:hAnsi="Courier New"/>
                <w:sz w:val="18"/>
                <w:szCs w:val="18"/>
                <w:color w:val="auto"/>
              </w:rPr>
              <w:t>Unaudited</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ASSETS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8"/>
              </w:rPr>
              <w:t>Pro forma</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w w:val="96"/>
              </w:rPr>
              <w:t>Historical</w:t>
            </w:r>
          </w:p>
        </w:tc>
        <w:tc>
          <w:tcPr>
            <w:tcW w:w="160" w:type="dxa"/>
            <w:vAlign w:val="bottom"/>
          </w:tcPr>
          <w:p>
            <w:pPr>
              <w:spacing w:after="0"/>
              <w:rPr>
                <w:sz w:val="17"/>
                <w:szCs w:val="17"/>
                <w:color w:val="auto"/>
              </w:rPr>
            </w:pP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Historical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6"/>
              </w:rPr>
              <w:t>as of</w:t>
            </w:r>
          </w:p>
        </w:tc>
      </w:tr>
      <w:tr>
        <w:trPr>
          <w:trHeight w:val="203"/>
        </w:trPr>
        <w:tc>
          <w:tcPr>
            <w:tcW w:w="40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jc w:val="right"/>
              <w:ind w:right="292"/>
              <w:spacing w:after="0" w:line="203" w:lineRule="exact"/>
              <w:rPr>
                <w:sz w:val="20"/>
                <w:szCs w:val="20"/>
                <w:color w:val="auto"/>
              </w:rPr>
            </w:pPr>
            <w:r>
              <w:rPr>
                <w:rFonts w:ascii="Courier New" w:cs="Courier New" w:eastAsia="Courier New" w:hAnsi="Courier New"/>
                <w:sz w:val="18"/>
                <w:szCs w:val="18"/>
                <w:color w:val="auto"/>
              </w:rPr>
              <w:t>9/30/98</w:t>
            </w:r>
          </w:p>
        </w:tc>
        <w:tc>
          <w:tcPr>
            <w:tcW w:w="160" w:type="dxa"/>
            <w:vAlign w:val="bottom"/>
          </w:tcPr>
          <w:p>
            <w:pPr>
              <w:spacing w:after="0"/>
              <w:rPr>
                <w:sz w:val="17"/>
                <w:szCs w:val="17"/>
                <w:color w:val="auto"/>
              </w:rPr>
            </w:pPr>
          </w:p>
        </w:tc>
        <w:tc>
          <w:tcPr>
            <w:tcW w:w="1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3/31/99</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5"/>
              </w:rPr>
              <w:t>3/31/99</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Cash and cash equivalents</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1,018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2,274</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2,274</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receivable</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4,175</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2,170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Inventories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22,480</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22,018</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22,018</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Prepaid expenses and other</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1,837</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1,422</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1160"/>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29,510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27,884</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27,884</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PROPERTY AND EQUIPMENT, at cost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Land</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1,962</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1,962</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Building and improvements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84,962</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84,962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84,962</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Computer and office equipment</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54,246</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54,246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54,246</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141,170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141,170</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141,170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depreciation</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92,032</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95,312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95,312</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49,138</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45,858</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45,858</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ASSETS, at cost</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Cost</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253,971</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253,971</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253,971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accumulated amortization</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247,839</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247,944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247,944</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6,132</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6,027</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6,027</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84,780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79,769</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79,769</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LIABILITIES AND STOCKHOLDERS' EQUITY</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Notes payable, related party</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758,500</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1,010,440</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721,000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7"/>
              </w:rPr>
              <w:t>Current maturities of long-term debt</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266,436</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267,436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22,001</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 trade</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1,139,015</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1,045,010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164,283</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Accounts payable,trade,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Torrey Pines Research, Inc.</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296,297</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296,297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Accrued expenses</w:t>
            </w:r>
          </w:p>
        </w:tc>
        <w:tc>
          <w:tcPr>
            <w:tcW w:w="200" w:type="dxa"/>
            <w:vAlign w:val="bottom"/>
          </w:tcPr>
          <w:p>
            <w:pPr>
              <w:spacing w:after="0"/>
              <w:rPr>
                <w:sz w:val="17"/>
                <w:szCs w:val="17"/>
                <w:color w:val="auto"/>
              </w:rPr>
            </w:pP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207,226</w:t>
            </w:r>
          </w:p>
        </w:tc>
        <w:tc>
          <w:tcPr>
            <w:tcW w:w="160" w:type="dxa"/>
            <w:vAlign w:val="bottom"/>
          </w:tcPr>
          <w:p>
            <w:pPr>
              <w:spacing w:after="0"/>
              <w:rPr>
                <w:sz w:val="17"/>
                <w:szCs w:val="17"/>
                <w:color w:val="auto"/>
              </w:rPr>
            </w:pP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102,704</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7,500</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2,667,474</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2,721,887</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914,784</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020" w:type="dxa"/>
            <w:vAlign w:val="bottom"/>
          </w:tcPr>
          <w:p>
            <w:pPr>
              <w:spacing w:after="0"/>
              <w:rPr>
                <w:sz w:val="20"/>
                <w:szCs w:val="20"/>
                <w:color w:val="auto"/>
              </w:rPr>
            </w:pPr>
            <w:r>
              <w:rPr>
                <w:rFonts w:ascii="Courier New" w:cs="Courier New" w:eastAsia="Courier New" w:hAnsi="Courier New"/>
                <w:sz w:val="18"/>
                <w:szCs w:val="18"/>
                <w:color w:val="auto"/>
              </w:rPr>
              <w:t>LONG-TERM DEBT</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3"/>
        </w:trPr>
        <w:tc>
          <w:tcPr>
            <w:tcW w:w="4020" w:type="dxa"/>
            <w:vAlign w:val="bottom"/>
          </w:tcPr>
          <w:p>
            <w:pPr>
              <w:spacing w:after="0"/>
              <w:rPr>
                <w:sz w:val="17"/>
                <w:szCs w:val="17"/>
                <w:color w:val="auto"/>
              </w:rPr>
            </w:pP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311,435</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311,435</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65,500</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Less current maturities</w:t>
            </w:r>
          </w:p>
        </w:tc>
        <w:tc>
          <w:tcPr>
            <w:tcW w:w="20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(266,436)</w:t>
            </w:r>
          </w:p>
        </w:tc>
        <w:tc>
          <w:tcPr>
            <w:tcW w:w="160" w:type="dxa"/>
            <w:vAlign w:val="bottom"/>
          </w:tcPr>
          <w:p>
            <w:pPr>
              <w:spacing w:after="0"/>
              <w:rPr>
                <w:sz w:val="17"/>
                <w:szCs w:val="17"/>
                <w:color w:val="auto"/>
              </w:rPr>
            </w:pP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(267,436)</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(22,001)</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Total long term debt</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44,999</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43,999</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43,499</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Total  current liabilities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rPr>
              <w:t>and long term debt</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2,712,473</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2,765,886</w:t>
            </w:r>
          </w:p>
        </w:tc>
        <w:tc>
          <w:tcPr>
            <w:tcW w:w="100" w:type="dxa"/>
            <w:vAlign w:val="bottom"/>
          </w:tcPr>
          <w:p>
            <w:pPr>
              <w:spacing w:after="0"/>
              <w:rPr>
                <w:sz w:val="17"/>
                <w:szCs w:val="17"/>
                <w:color w:val="auto"/>
              </w:rPr>
            </w:pPr>
          </w:p>
        </w:tc>
        <w:tc>
          <w:tcPr>
            <w:tcW w:w="100" w:type="dxa"/>
            <w:vAlign w:val="bottom"/>
          </w:tcPr>
          <w:p>
            <w:pPr>
              <w:spacing w:after="0" w:line="203" w:lineRule="exact"/>
              <w:rPr>
                <w:sz w:val="20"/>
                <w:szCs w:val="20"/>
                <w:color w:val="auto"/>
              </w:rPr>
            </w:pPr>
            <w:r>
              <w:rPr>
                <w:rFonts w:ascii="Courier New" w:cs="Courier New" w:eastAsia="Courier New" w:hAnsi="Courier New"/>
                <w:sz w:val="18"/>
                <w:szCs w:val="18"/>
                <w:color w:val="auto"/>
                <w:w w:val="73"/>
              </w:rPr>
              <w:t>$</w:t>
            </w: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958,283</w:t>
            </w:r>
          </w:p>
        </w:tc>
      </w:tr>
      <w:tr>
        <w:trPr>
          <w:trHeight w:val="203"/>
        </w:trPr>
        <w:tc>
          <w:tcPr>
            <w:tcW w:w="4020" w:type="dxa"/>
            <w:vAlign w:val="bottom"/>
          </w:tcPr>
          <w:p>
            <w:pPr>
              <w:spacing w:after="0"/>
              <w:rPr>
                <w:sz w:val="17"/>
                <w:szCs w:val="17"/>
                <w:color w:val="auto"/>
              </w:rPr>
            </w:pPr>
          </w:p>
        </w:tc>
        <w:tc>
          <w:tcPr>
            <w:tcW w:w="14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w:t>
            </w:r>
          </w:p>
        </w:tc>
        <w:tc>
          <w:tcPr>
            <w:tcW w:w="142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w:t>
            </w:r>
          </w:p>
        </w:tc>
        <w:tc>
          <w:tcPr>
            <w:tcW w:w="100" w:type="dxa"/>
            <w:vAlign w:val="bottom"/>
          </w:tcPr>
          <w:p>
            <w:pPr>
              <w:spacing w:after="0"/>
              <w:rPr>
                <w:sz w:val="17"/>
                <w:szCs w:val="17"/>
                <w:color w:val="auto"/>
              </w:rPr>
            </w:pPr>
          </w:p>
        </w:tc>
        <w:tc>
          <w:tcPr>
            <w:tcW w:w="13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Page &lt;4&gt;</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STOCKHOLDERS' EQUITY</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A preferred stock, par value</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w w:val="99"/>
              </w:rPr>
              <w:t>$.001 per share; authorized 5,000,000</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shares, issued 113,901</w:t>
            </w:r>
          </w:p>
        </w:tc>
        <w:tc>
          <w:tcPr>
            <w:tcW w:w="200" w:type="dxa"/>
            <w:vAlign w:val="bottom"/>
          </w:tcPr>
          <w:p>
            <w:pPr>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114</w:t>
            </w:r>
          </w:p>
        </w:tc>
        <w:tc>
          <w:tcPr>
            <w:tcW w:w="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2"/>
              </w:rPr>
              <w:t>$</w:t>
            </w:r>
          </w:p>
        </w:tc>
        <w:tc>
          <w:tcPr>
            <w:tcW w:w="12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114</w:t>
            </w:r>
          </w:p>
        </w:tc>
        <w:tc>
          <w:tcPr>
            <w:tcW w:w="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73"/>
              </w:rPr>
              <w:t>$</w:t>
            </w: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114</w:t>
            </w:r>
          </w:p>
        </w:tc>
      </w:tr>
      <w:tr>
        <w:trPr>
          <w:trHeight w:val="203"/>
        </w:trPr>
        <w:tc>
          <w:tcPr>
            <w:tcW w:w="4020" w:type="dxa"/>
            <w:vAlign w:val="bottom"/>
          </w:tcPr>
          <w:p>
            <w:pPr>
              <w:spacing w:after="0" w:line="203" w:lineRule="exact"/>
              <w:rPr>
                <w:sz w:val="20"/>
                <w:szCs w:val="20"/>
                <w:color w:val="auto"/>
              </w:rPr>
            </w:pPr>
            <w:r>
              <w:rPr>
                <w:rFonts w:ascii="Courier New" w:cs="Courier New" w:eastAsia="Courier New" w:hAnsi="Courier New"/>
                <w:sz w:val="18"/>
                <w:szCs w:val="18"/>
                <w:color w:val="auto"/>
              </w:rPr>
              <w:t>Series B preferred stock, liquidation</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value of $0.15 per share; convertible at</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the option of the holder to 10 shares of</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440" w:type="dxa"/>
            <w:vAlign w:val="bottom"/>
            <w:gridSpan w:val="3"/>
          </w:tcPr>
          <w:p>
            <w:pPr>
              <w:ind w:left="220"/>
              <w:spacing w:after="0" w:line="203" w:lineRule="exact"/>
              <w:rPr>
                <w:sz w:val="20"/>
                <w:szCs w:val="20"/>
                <w:color w:val="auto"/>
              </w:rPr>
            </w:pPr>
            <w:r>
              <w:rPr>
                <w:rFonts w:ascii="Courier New" w:cs="Courier New" w:eastAsia="Courier New" w:hAnsi="Courier New"/>
                <w:sz w:val="18"/>
                <w:szCs w:val="18"/>
                <w:color w:val="auto"/>
              </w:rPr>
              <w:t>common for each share of preferred.  2,000,000</w:t>
            </w: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and issued on pro forma</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2,000</w:t>
            </w:r>
          </w:p>
        </w:tc>
      </w:tr>
      <w:tr>
        <w:trPr>
          <w:trHeight w:val="203"/>
        </w:trPr>
        <w:tc>
          <w:tcPr>
            <w:tcW w:w="4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Common stock, par value $.001 per share;</w:t>
            </w: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40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authorized 10,000,000 shares;</w:t>
            </w: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r>
    </w:tbl>
    <w:p>
      <w:pPr>
        <w:sectPr>
          <w:pgSz w:w="11900" w:h="16838" w:orient="portrait"/>
          <w:cols w:equalWidth="0" w:num="1">
            <w:col w:w="10219"/>
          </w:cols>
          <w:pgMar w:left="240" w:top="136" w:right="1440" w:bottom="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2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issued 3,337,530  Pro forma 5,076,508</w:t>
            </w:r>
          </w:p>
        </w:tc>
        <w:tc>
          <w:tcPr>
            <w:tcW w:w="12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3,289</w:t>
            </w:r>
          </w:p>
        </w:tc>
        <w:tc>
          <w:tcPr>
            <w:tcW w:w="680" w:type="dxa"/>
            <w:vAlign w:val="bottom"/>
          </w:tcPr>
          <w:p>
            <w:pPr>
              <w:spacing w:after="0"/>
              <w:rPr>
                <w:sz w:val="17"/>
                <w:szCs w:val="17"/>
                <w:color w:val="auto"/>
              </w:rPr>
            </w:pPr>
          </w:p>
        </w:tc>
        <w:tc>
          <w:tcPr>
            <w:tcW w:w="740" w:type="dxa"/>
            <w:vAlign w:val="bottom"/>
            <w:gridSpan w:val="2"/>
          </w:tcPr>
          <w:p>
            <w:pPr>
              <w:jc w:val="right"/>
              <w:ind w:right="32"/>
              <w:spacing w:after="0"/>
              <w:rPr>
                <w:sz w:val="20"/>
                <w:szCs w:val="20"/>
                <w:color w:val="auto"/>
              </w:rPr>
            </w:pPr>
            <w:r>
              <w:rPr>
                <w:rFonts w:ascii="Courier New" w:cs="Courier New" w:eastAsia="Courier New" w:hAnsi="Courier New"/>
                <w:sz w:val="18"/>
                <w:szCs w:val="18"/>
                <w:color w:val="auto"/>
              </w:rPr>
              <w:t>3,337</w:t>
            </w:r>
          </w:p>
        </w:tc>
        <w:tc>
          <w:tcPr>
            <w:tcW w:w="260" w:type="dxa"/>
            <w:vAlign w:val="bottom"/>
          </w:tcPr>
          <w:p>
            <w:pPr>
              <w:spacing w:after="0"/>
              <w:rPr>
                <w:sz w:val="17"/>
                <w:szCs w:val="17"/>
                <w:color w:val="auto"/>
              </w:rPr>
            </w:pPr>
          </w:p>
        </w:tc>
        <w:tc>
          <w:tcPr>
            <w:tcW w:w="1220" w:type="dxa"/>
            <w:vAlign w:val="bottom"/>
          </w:tcPr>
          <w:p>
            <w:pPr>
              <w:jc w:val="right"/>
              <w:ind w:right="32"/>
              <w:spacing w:after="0"/>
              <w:rPr>
                <w:sz w:val="20"/>
                <w:szCs w:val="20"/>
                <w:color w:val="auto"/>
              </w:rPr>
            </w:pPr>
            <w:r>
              <w:rPr>
                <w:rFonts w:ascii="Courier New" w:cs="Courier New" w:eastAsia="Courier New" w:hAnsi="Courier New"/>
                <w:sz w:val="18"/>
                <w:szCs w:val="18"/>
                <w:color w:val="auto"/>
              </w:rPr>
              <w:t>5,076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Additional paid-in capital</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6,834,594</w:t>
            </w:r>
          </w:p>
        </w:tc>
        <w:tc>
          <w:tcPr>
            <w:tcW w:w="1420" w:type="dxa"/>
            <w:vAlign w:val="bottom"/>
            <w:gridSpan w:val="3"/>
          </w:tcPr>
          <w:p>
            <w:pPr>
              <w:jc w:val="right"/>
              <w:ind w:right="32"/>
              <w:spacing w:after="0" w:line="203" w:lineRule="exact"/>
              <w:rPr>
                <w:sz w:val="20"/>
                <w:szCs w:val="20"/>
                <w:color w:val="auto"/>
              </w:rPr>
            </w:pPr>
            <w:r>
              <w:rPr>
                <w:rFonts w:ascii="Courier New" w:cs="Courier New" w:eastAsia="Courier New" w:hAnsi="Courier New"/>
                <w:sz w:val="18"/>
                <w:szCs w:val="18"/>
                <w:color w:val="auto"/>
              </w:rPr>
              <w:t>6,928,742</w:t>
            </w:r>
          </w:p>
        </w:tc>
        <w:tc>
          <w:tcPr>
            <w:tcW w:w="260" w:type="dxa"/>
            <w:vAlign w:val="bottom"/>
          </w:tcPr>
          <w:p>
            <w:pPr>
              <w:spacing w:after="0"/>
              <w:rPr>
                <w:sz w:val="17"/>
                <w:szCs w:val="17"/>
                <w:color w:val="auto"/>
              </w:rPr>
            </w:pP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8,767,606</w:t>
            </w:r>
          </w:p>
        </w:tc>
      </w:tr>
      <w:tr>
        <w:trPr>
          <w:trHeight w:val="203"/>
        </w:trPr>
        <w:tc>
          <w:tcPr>
            <w:tcW w:w="4220" w:type="dxa"/>
            <w:vAlign w:val="bottom"/>
          </w:tcPr>
          <w:p>
            <w:pPr>
              <w:spacing w:after="0" w:line="203" w:lineRule="exact"/>
              <w:rPr>
                <w:sz w:val="20"/>
                <w:szCs w:val="20"/>
                <w:color w:val="auto"/>
              </w:rPr>
            </w:pPr>
            <w:r>
              <w:rPr>
                <w:rFonts w:ascii="Courier New" w:cs="Courier New" w:eastAsia="Courier New" w:hAnsi="Courier New"/>
                <w:sz w:val="18"/>
                <w:szCs w:val="18"/>
                <w:color w:val="auto"/>
              </w:rPr>
              <w:t>Accumulated deficit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(9,465,690)</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(9,618,310)</w:t>
            </w:r>
          </w:p>
        </w:tc>
        <w:tc>
          <w:tcPr>
            <w:tcW w:w="260" w:type="dxa"/>
            <w:vAlign w:val="bottom"/>
          </w:tcPr>
          <w:p>
            <w:pPr>
              <w:spacing w:after="0"/>
              <w:rPr>
                <w:sz w:val="17"/>
                <w:szCs w:val="17"/>
                <w:color w:val="auto"/>
              </w:rPr>
            </w:pP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(9,653,310)</w:t>
            </w: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5"/>
              </w:rPr>
              <w:t>(2,627,693)</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 (2,686,117)</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(878,514)</w:t>
            </w: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42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84,780</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t>
            </w:r>
          </w:p>
        </w:tc>
        <w:tc>
          <w:tcPr>
            <w:tcW w:w="740" w:type="dxa"/>
            <w:vAlign w:val="bottom"/>
            <w:gridSpan w:val="2"/>
          </w:tcPr>
          <w:p>
            <w:pPr>
              <w:jc w:val="right"/>
              <w:ind w:right="32"/>
              <w:spacing w:after="0" w:line="203" w:lineRule="exact"/>
              <w:rPr>
                <w:sz w:val="20"/>
                <w:szCs w:val="20"/>
                <w:color w:val="auto"/>
              </w:rPr>
            </w:pPr>
            <w:r>
              <w:rPr>
                <w:rFonts w:ascii="Courier New" w:cs="Courier New" w:eastAsia="Courier New" w:hAnsi="Courier New"/>
                <w:sz w:val="18"/>
                <w:szCs w:val="18"/>
                <w:color w:val="auto"/>
                <w:w w:val="92"/>
              </w:rPr>
              <w:t>79,769</w:t>
            </w:r>
          </w:p>
        </w:tc>
        <w:tc>
          <w:tcPr>
            <w:tcW w:w="26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79,769</w:t>
            </w: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203"/>
        </w:trPr>
        <w:tc>
          <w:tcPr>
            <w:tcW w:w="54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6"/>
              </w:rPr>
              <w:t>-------------</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Page &lt;5&gt;</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220" w:type="dxa"/>
            <w:vAlign w:val="bottom"/>
          </w:tcPr>
          <w:p>
            <w:pPr>
              <w:ind w:left="3280"/>
              <w:spacing w:after="0"/>
              <w:rPr>
                <w:sz w:val="20"/>
                <w:szCs w:val="20"/>
                <w:color w:val="auto"/>
              </w:rPr>
            </w:pPr>
            <w:r>
              <w:rPr>
                <w:rFonts w:ascii="Courier New" w:cs="Courier New" w:eastAsia="Courier New" w:hAnsi="Courier New"/>
                <w:sz w:val="18"/>
                <w:szCs w:val="18"/>
                <w:color w:val="auto"/>
                <w:w w:val="94"/>
              </w:rPr>
              <w:t>EXHIBIT A</w:t>
            </w:r>
          </w:p>
        </w:tc>
        <w:tc>
          <w:tcPr>
            <w:tcW w:w="1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5440" w:type="dxa"/>
            <w:vAlign w:val="bottom"/>
            <w:gridSpan w:val="2"/>
          </w:tcPr>
          <w:p>
            <w:pPr>
              <w:jc w:val="right"/>
              <w:ind w:right="912"/>
              <w:spacing w:after="0"/>
              <w:rPr>
                <w:sz w:val="20"/>
                <w:szCs w:val="20"/>
                <w:color w:val="auto"/>
              </w:rPr>
            </w:pPr>
            <w:r>
              <w:rPr>
                <w:rFonts w:ascii="Courier New" w:cs="Courier New" w:eastAsia="Courier New" w:hAnsi="Courier New"/>
                <w:sz w:val="18"/>
                <w:szCs w:val="18"/>
                <w:color w:val="auto"/>
              </w:rPr>
              <w:t>NEWS RELEASE</w:t>
            </w: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FOR IMMEDIATE RELEASE</w:t>
            </w:r>
          </w:p>
        </w:tc>
        <w:tc>
          <w:tcPr>
            <w:tcW w:w="1220" w:type="dxa"/>
            <w:vAlign w:val="bottom"/>
          </w:tcPr>
          <w:p>
            <w:pPr>
              <w:spacing w:after="0"/>
              <w:rPr>
                <w:sz w:val="24"/>
                <w:szCs w:val="24"/>
                <w:color w:val="auto"/>
              </w:rPr>
            </w:pPr>
          </w:p>
        </w:tc>
        <w:tc>
          <w:tcPr>
            <w:tcW w:w="120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Contact:</w:t>
            </w:r>
          </w:p>
        </w:tc>
        <w:tc>
          <w:tcPr>
            <w:tcW w:w="1700" w:type="dxa"/>
            <w:vAlign w:val="bottom"/>
            <w:gridSpan w:val="3"/>
          </w:tcPr>
          <w:p>
            <w:pPr>
              <w:jc w:val="right"/>
              <w:ind w:right="232"/>
              <w:spacing w:after="0"/>
              <w:rPr>
                <w:sz w:val="20"/>
                <w:szCs w:val="20"/>
                <w:color w:val="auto"/>
              </w:rPr>
            </w:pPr>
            <w:r>
              <w:rPr>
                <w:rFonts w:ascii="Courier New" w:cs="Courier New" w:eastAsia="Courier New" w:hAnsi="Courier New"/>
                <w:sz w:val="18"/>
                <w:szCs w:val="18"/>
                <w:color w:val="auto"/>
              </w:rPr>
              <w:t>Robert Stahl</w:t>
            </w:r>
          </w:p>
        </w:tc>
      </w:tr>
      <w:tr>
        <w:trPr>
          <w:trHeight w:val="203"/>
        </w:trPr>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420" w:type="dxa"/>
            <w:vAlign w:val="bottom"/>
            <w:gridSpan w:val="3"/>
          </w:tcPr>
          <w:p>
            <w:pPr>
              <w:ind w:left="260"/>
              <w:spacing w:after="0" w:line="203" w:lineRule="exact"/>
              <w:rPr>
                <w:sz w:val="20"/>
                <w:szCs w:val="20"/>
                <w:color w:val="auto"/>
              </w:rPr>
            </w:pPr>
            <w:r>
              <w:rPr>
                <w:rFonts w:ascii="Courier New" w:cs="Courier New" w:eastAsia="Courier New" w:hAnsi="Courier New"/>
                <w:sz w:val="18"/>
                <w:szCs w:val="18"/>
                <w:color w:val="auto"/>
                <w:w w:val="95"/>
              </w:rPr>
              <w:t>InterActive</w:t>
            </w:r>
          </w:p>
        </w:tc>
        <w:tc>
          <w:tcPr>
            <w:tcW w:w="1480" w:type="dxa"/>
            <w:vAlign w:val="bottom"/>
            <w:gridSpan w:val="2"/>
          </w:tcPr>
          <w:p>
            <w:pPr>
              <w:jc w:val="right"/>
              <w:ind w:right="872"/>
              <w:spacing w:after="0" w:line="203" w:lineRule="exact"/>
              <w:rPr>
                <w:sz w:val="20"/>
                <w:szCs w:val="20"/>
                <w:color w:val="auto"/>
              </w:rPr>
            </w:pPr>
            <w:r>
              <w:rPr>
                <w:rFonts w:ascii="Courier New" w:cs="Courier New" w:eastAsia="Courier New" w:hAnsi="Courier New"/>
                <w:sz w:val="18"/>
                <w:szCs w:val="18"/>
                <w:color w:val="auto"/>
              </w:rPr>
              <w:t>Inc.</w:t>
            </w:r>
          </w:p>
        </w:tc>
      </w:tr>
      <w:tr>
        <w:trPr>
          <w:trHeight w:val="203"/>
        </w:trPr>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900" w:type="dxa"/>
            <w:vAlign w:val="bottom"/>
            <w:gridSpan w:val="5"/>
          </w:tcPr>
          <w:p>
            <w:pPr>
              <w:ind w:left="260"/>
              <w:spacing w:after="0" w:line="203" w:lineRule="exact"/>
              <w:rPr>
                <w:sz w:val="20"/>
                <w:szCs w:val="20"/>
                <w:color w:val="auto"/>
              </w:rPr>
            </w:pPr>
            <w:r>
              <w:rPr>
                <w:rFonts w:ascii="Courier New" w:cs="Courier New" w:eastAsia="Courier New" w:hAnsi="Courier New"/>
                <w:sz w:val="18"/>
                <w:szCs w:val="18"/>
                <w:color w:val="auto"/>
              </w:rPr>
              <w:t>Phone: (605) 363-5117</w:t>
            </w:r>
          </w:p>
        </w:tc>
      </w:tr>
      <w:tr>
        <w:trPr>
          <w:trHeight w:val="203"/>
        </w:trPr>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2"/>
              </w:rPr>
              <w:t>Fax:</w:t>
            </w:r>
          </w:p>
        </w:tc>
        <w:tc>
          <w:tcPr>
            <w:tcW w:w="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148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363-5102</w:t>
            </w:r>
          </w:p>
        </w:tc>
      </w:tr>
      <w:tr>
        <w:trPr>
          <w:trHeight w:val="203"/>
        </w:trPr>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rPr>
              <w:t>E-mail:</w:t>
            </w:r>
          </w:p>
        </w:tc>
        <w:tc>
          <w:tcPr>
            <w:tcW w:w="1700" w:type="dxa"/>
            <w:vAlign w:val="bottom"/>
            <w:gridSpan w:val="3"/>
          </w:tcPr>
          <w:p>
            <w:pPr>
              <w:jc w:val="right"/>
              <w:ind w:right="132"/>
              <w:spacing w:after="0" w:line="203" w:lineRule="exact"/>
              <w:rPr>
                <w:sz w:val="20"/>
                <w:szCs w:val="20"/>
                <w:color w:val="auto"/>
              </w:rPr>
            </w:pPr>
            <w:r>
              <w:rPr>
                <w:rFonts w:ascii="Courier New" w:cs="Courier New" w:eastAsia="Courier New" w:hAnsi="Courier New"/>
                <w:sz w:val="18"/>
                <w:szCs w:val="18"/>
                <w:color w:val="auto"/>
                <w:w w:val="96"/>
              </w:rPr>
              <w:t>sales@iact.com</w:t>
            </w:r>
          </w:p>
        </w:tc>
      </w:tr>
      <w:tr>
        <w:trPr>
          <w:trHeight w:val="203"/>
        </w:trPr>
        <w:tc>
          <w:tcPr>
            <w:tcW w:w="4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4"/>
              </w:rPr>
              <w:t>Homepage:</w:t>
            </w:r>
          </w:p>
        </w:tc>
        <w:tc>
          <w:tcPr>
            <w:tcW w:w="220" w:type="dxa"/>
            <w:vAlign w:val="bottom"/>
          </w:tcPr>
          <w:p>
            <w:pPr>
              <w:spacing w:after="0"/>
              <w:rPr>
                <w:sz w:val="17"/>
                <w:szCs w:val="17"/>
                <w:color w:val="auto"/>
              </w:rPr>
            </w:pPr>
          </w:p>
        </w:tc>
        <w:tc>
          <w:tcPr>
            <w:tcW w:w="1480" w:type="dxa"/>
            <w:vAlign w:val="bottom"/>
            <w:gridSpan w:val="2"/>
          </w:tcPr>
          <w:p>
            <w:pPr>
              <w:jc w:val="right"/>
              <w:ind w:right="132"/>
              <w:spacing w:after="0" w:line="203" w:lineRule="exact"/>
              <w:rPr>
                <w:sz w:val="20"/>
                <w:szCs w:val="20"/>
                <w:color w:val="auto"/>
              </w:rPr>
            </w:pPr>
            <w:r>
              <w:rPr>
                <w:rFonts w:ascii="Courier New" w:cs="Courier New" w:eastAsia="Courier New" w:hAnsi="Courier New"/>
                <w:sz w:val="18"/>
                <w:szCs w:val="18"/>
                <w:color w:val="auto"/>
                <w:w w:val="95"/>
              </w:rPr>
              <w:t>www.iact.com</w:t>
            </w:r>
          </w:p>
        </w:tc>
      </w:tr>
    </w:tbl>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5700" w:type="dxa"/>
            <w:vAlign w:val="bottom"/>
            <w:gridSpan w:val="3"/>
          </w:tcPr>
          <w:p>
            <w:pPr>
              <w:spacing w:after="0"/>
              <w:rPr>
                <w:sz w:val="20"/>
                <w:szCs w:val="20"/>
                <w:color w:val="auto"/>
              </w:rPr>
            </w:pPr>
            <w:r>
              <w:rPr>
                <w:rFonts w:ascii="Courier New" w:cs="Courier New" w:eastAsia="Courier New" w:hAnsi="Courier New"/>
                <w:sz w:val="18"/>
                <w:szCs w:val="18"/>
                <w:color w:val="auto"/>
              </w:rPr>
              <w:t>INTERACTIVE COMPLETES DEBT TO EQUITY CONVERSION</w:t>
            </w:r>
          </w:p>
        </w:tc>
        <w:tc>
          <w:tcPr>
            <w:tcW w:w="1160" w:type="dxa"/>
            <w:vAlign w:val="bottom"/>
          </w:tcPr>
          <w:p>
            <w:pPr>
              <w:spacing w:after="0"/>
              <w:rPr>
                <w:sz w:val="17"/>
                <w:szCs w:val="17"/>
                <w:color w:val="auto"/>
              </w:rPr>
            </w:pPr>
          </w:p>
        </w:tc>
      </w:tr>
      <w:tr>
        <w:trPr>
          <w:trHeight w:val="203"/>
        </w:trPr>
        <w:tc>
          <w:tcPr>
            <w:tcW w:w="1480" w:type="dxa"/>
            <w:vAlign w:val="bottom"/>
          </w:tcPr>
          <w:p>
            <w:pPr>
              <w:spacing w:after="0"/>
              <w:rPr>
                <w:sz w:val="17"/>
                <w:szCs w:val="17"/>
                <w:color w:val="auto"/>
              </w:rPr>
            </w:pPr>
          </w:p>
        </w:tc>
        <w:tc>
          <w:tcPr>
            <w:tcW w:w="57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spacing w:after="0"/>
              <w:rPr>
                <w:sz w:val="17"/>
                <w:szCs w:val="17"/>
                <w:color w:val="auto"/>
              </w:rPr>
            </w:pPr>
          </w:p>
        </w:tc>
      </w:tr>
      <w:tr>
        <w:trPr>
          <w:trHeight w:val="203"/>
        </w:trPr>
        <w:tc>
          <w:tcPr>
            <w:tcW w:w="1480" w:type="dxa"/>
            <w:vAlign w:val="bottom"/>
          </w:tcPr>
          <w:p>
            <w:pPr>
              <w:ind w:left="540"/>
              <w:spacing w:after="0" w:line="203" w:lineRule="exact"/>
              <w:rPr>
                <w:sz w:val="20"/>
                <w:szCs w:val="20"/>
                <w:color w:val="auto"/>
              </w:rPr>
            </w:pPr>
            <w:r>
              <w:rPr>
                <w:rFonts w:ascii="Courier New" w:cs="Courier New" w:eastAsia="Courier New" w:hAnsi="Courier New"/>
                <w:sz w:val="18"/>
                <w:szCs w:val="18"/>
                <w:color w:val="auto"/>
                <w:w w:val="94"/>
              </w:rPr>
              <w:t>Humboldt,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SD, June 18,</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1999 - InterActive Inc., a South Dakota</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w w:val="95"/>
              </w:rPr>
              <w:t>corporation</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("InterActive"</w:t>
            </w:r>
          </w:p>
        </w:tc>
        <w:tc>
          <w:tcPr>
            <w:tcW w:w="3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or the "Company") whose common</w:t>
            </w:r>
          </w:p>
        </w:tc>
        <w:tc>
          <w:tcPr>
            <w:tcW w:w="35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stock is traded in the over-the-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counter market</w:t>
            </w:r>
          </w:p>
        </w:tc>
        <w:tc>
          <w:tcPr>
            <w:tcW w:w="3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8"/>
              </w:rPr>
              <w:t>under the symbol "INAV", today</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announced a successful</w:t>
            </w:r>
          </w:p>
        </w:tc>
        <w:tc>
          <w:tcPr>
            <w:tcW w:w="1160" w:type="dxa"/>
            <w:vAlign w:val="bottom"/>
          </w:tcPr>
          <w:p>
            <w:pPr>
              <w:spacing w:after="0"/>
              <w:rPr>
                <w:sz w:val="17"/>
                <w:szCs w:val="17"/>
                <w:color w:val="auto"/>
              </w:rPr>
            </w:pP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restructuring</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of a majority</w:t>
            </w:r>
          </w:p>
        </w:tc>
        <w:tc>
          <w:tcPr>
            <w:tcW w:w="42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of its outstanding debt. Restructure of</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the</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Company's debt</w:t>
            </w:r>
          </w:p>
        </w:tc>
        <w:tc>
          <w:tcPr>
            <w:tcW w:w="14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was proposed</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in December 1998,</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 publicly announced</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in a press</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release dated</w:t>
            </w:r>
          </w:p>
        </w:tc>
        <w:tc>
          <w:tcPr>
            <w:tcW w:w="3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December 7, 1998.  Effective as</w:t>
            </w:r>
          </w:p>
        </w:tc>
        <w:tc>
          <w:tcPr>
            <w:tcW w:w="2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 June 18, 1999, the</w:t>
            </w:r>
          </w:p>
        </w:tc>
        <w:tc>
          <w:tcPr>
            <w:tcW w:w="1160" w:type="dxa"/>
            <w:vAlign w:val="bottom"/>
          </w:tcPr>
          <w:p>
            <w:pPr>
              <w:spacing w:after="0" w:line="203" w:lineRule="exact"/>
              <w:rPr>
                <w:sz w:val="20"/>
                <w:szCs w:val="20"/>
                <w:color w:val="auto"/>
              </w:rPr>
            </w:pPr>
            <w:r>
              <w:rPr>
                <w:rFonts w:ascii="Courier New" w:cs="Courier New" w:eastAsia="Courier New" w:hAnsi="Courier New"/>
                <w:sz w:val="18"/>
                <w:szCs w:val="18"/>
                <w:color w:val="auto"/>
              </w:rPr>
              <w:t>holders of</w:t>
            </w:r>
          </w:p>
        </w:tc>
      </w:tr>
      <w:tr>
        <w:trPr>
          <w:trHeight w:val="203"/>
        </w:trPr>
        <w:tc>
          <w:tcPr>
            <w:tcW w:w="1480" w:type="dxa"/>
            <w:vAlign w:val="bottom"/>
          </w:tcPr>
          <w:p>
            <w:pPr>
              <w:spacing w:after="0" w:line="203" w:lineRule="exact"/>
              <w:rPr>
                <w:sz w:val="20"/>
                <w:szCs w:val="20"/>
                <w:color w:val="auto"/>
              </w:rPr>
            </w:pPr>
            <w:r>
              <w:rPr>
                <w:rFonts w:ascii="Courier New" w:cs="Courier New" w:eastAsia="Courier New" w:hAnsi="Courier New"/>
                <w:sz w:val="18"/>
                <w:szCs w:val="18"/>
                <w:color w:val="auto"/>
              </w:rPr>
              <w:t>approximately</w:t>
            </w:r>
          </w:p>
        </w:tc>
        <w:tc>
          <w:tcPr>
            <w:tcW w:w="142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$1,599,000 of</w:t>
            </w:r>
          </w:p>
        </w:tc>
        <w:tc>
          <w:tcPr>
            <w:tcW w:w="544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the Company's previously outstanding debt, have</w:t>
            </w:r>
          </w:p>
        </w:tc>
      </w:tr>
    </w:tbl>
    <w:p>
      <w:pPr>
        <w:spacing w:after="0" w:line="238" w:lineRule="auto"/>
        <w:rPr>
          <w:sz w:val="20"/>
          <w:szCs w:val="20"/>
          <w:color w:val="auto"/>
        </w:rPr>
      </w:pPr>
      <w:r>
        <w:rPr>
          <w:rFonts w:ascii="Courier New" w:cs="Courier New" w:eastAsia="Courier New" w:hAnsi="Courier New"/>
          <w:sz w:val="18"/>
          <w:szCs w:val="18"/>
          <w:color w:val="auto"/>
        </w:rPr>
        <w:t>agreed to accept shares of the Company's common stock in exchange therefor.</w:t>
      </w:r>
    </w:p>
    <w:p>
      <w:pPr>
        <w:spacing w:after="0" w:line="202"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 connection with the debt restructuring, TPR Group, Inc., a Delaware</w:t>
      </w:r>
    </w:p>
    <w:p>
      <w:pPr>
        <w:spacing w:after="0" w:line="238" w:lineRule="auto"/>
        <w:rPr>
          <w:sz w:val="20"/>
          <w:szCs w:val="20"/>
          <w:color w:val="auto"/>
        </w:rPr>
      </w:pPr>
      <w:r>
        <w:rPr>
          <w:rFonts w:ascii="Courier New" w:cs="Courier New" w:eastAsia="Courier New" w:hAnsi="Courier New"/>
          <w:sz w:val="18"/>
          <w:szCs w:val="18"/>
          <w:color w:val="auto"/>
        </w:rPr>
        <w:t>corporation (together with its affiliated entities, TPR), received 296,298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shares of the Company's Common Stock in exchange for $296,298 in unsecured debt</w:t>
      </w:r>
    </w:p>
    <w:p>
      <w:pPr>
        <w:spacing w:after="0" w:line="16" w:lineRule="exact"/>
        <w:rPr>
          <w:sz w:val="20"/>
          <w:szCs w:val="20"/>
          <w:color w:val="auto"/>
        </w:rPr>
      </w:pPr>
    </w:p>
    <w:p>
      <w:pPr>
        <w:spacing w:after="0"/>
        <w:tabs>
          <w:tab w:leader="none" w:pos="2940" w:val="left"/>
        </w:tabs>
        <w:rPr>
          <w:sz w:val="20"/>
          <w:szCs w:val="20"/>
          <w:color w:val="auto"/>
        </w:rPr>
      </w:pPr>
      <w:r>
        <w:rPr>
          <w:rFonts w:ascii="Courier New" w:cs="Courier New" w:eastAsia="Courier New" w:hAnsi="Courier New"/>
          <w:sz w:val="18"/>
          <w:szCs w:val="18"/>
          <w:color w:val="auto"/>
        </w:rPr>
        <w:t>owed to it by the Company.</w:t>
      </w:r>
      <w:r>
        <w:rPr>
          <w:sz w:val="20"/>
          <w:szCs w:val="20"/>
          <w:color w:val="auto"/>
        </w:rPr>
        <w:tab/>
      </w:r>
      <w:r>
        <w:rPr>
          <w:rFonts w:ascii="Courier New" w:cs="Courier New" w:eastAsia="Courier New" w:hAnsi="Courier New"/>
          <w:sz w:val="16"/>
          <w:szCs w:val="16"/>
          <w:color w:val="auto"/>
        </w:rPr>
        <w:t>In addition , TPR acquired shares of a new series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of the Company's authorized but unissued preferred stock (the Series B Preferred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Stock) which is initially convertible into 20,000,000 shares of the Company's</w:t>
      </w:r>
    </w:p>
    <w:p>
      <w:pPr>
        <w:spacing w:after="0" w:line="238" w:lineRule="auto"/>
        <w:rPr>
          <w:sz w:val="20"/>
          <w:szCs w:val="20"/>
          <w:color w:val="auto"/>
        </w:rPr>
      </w:pPr>
      <w:r>
        <w:rPr>
          <w:rFonts w:ascii="Courier New" w:cs="Courier New" w:eastAsia="Courier New" w:hAnsi="Courier New"/>
          <w:sz w:val="18"/>
          <w:szCs w:val="18"/>
          <w:color w:val="auto"/>
        </w:rPr>
        <w:t>Common Stock. Subject to the satisfaction of certain further conditions, TPR</w:t>
      </w:r>
    </w:p>
    <w:p>
      <w:pPr>
        <w:spacing w:after="0"/>
        <w:rPr>
          <w:sz w:val="20"/>
          <w:szCs w:val="20"/>
          <w:color w:val="auto"/>
        </w:rPr>
      </w:pPr>
      <w:r>
        <w:rPr>
          <w:rFonts w:ascii="Courier New" w:cs="Courier New" w:eastAsia="Courier New" w:hAnsi="Courier New"/>
          <w:sz w:val="18"/>
          <w:szCs w:val="18"/>
          <w:color w:val="auto"/>
        </w:rPr>
        <w:t>also has contributed to the capital of the Company the sum of $289,440 in</w:t>
      </w:r>
    </w:p>
    <w:p>
      <w:pPr>
        <w:spacing w:after="0" w:line="237" w:lineRule="auto"/>
        <w:rPr>
          <w:sz w:val="20"/>
          <w:szCs w:val="20"/>
          <w:color w:val="auto"/>
        </w:rPr>
      </w:pPr>
      <w:r>
        <w:rPr>
          <w:rFonts w:ascii="Courier New" w:cs="Courier New" w:eastAsia="Courier New" w:hAnsi="Courier New"/>
          <w:sz w:val="18"/>
          <w:szCs w:val="18"/>
          <w:color w:val="auto"/>
        </w:rPr>
        <w:t>principal and accrued interest owed to it by the Company, which was secured by</w:t>
      </w:r>
    </w:p>
    <w:p>
      <w:pPr>
        <w:spacing w:after="0"/>
        <w:tabs>
          <w:tab w:leader="none" w:pos="4200" w:val="left"/>
        </w:tabs>
        <w:rPr>
          <w:sz w:val="20"/>
          <w:szCs w:val="20"/>
          <w:color w:val="auto"/>
        </w:rPr>
      </w:pPr>
      <w:r>
        <w:rPr>
          <w:rFonts w:ascii="Courier New" w:cs="Courier New" w:eastAsia="Courier New" w:hAnsi="Courier New"/>
          <w:sz w:val="18"/>
          <w:szCs w:val="18"/>
          <w:color w:val="auto"/>
        </w:rPr>
        <w:t>a lien on all of the Company's assets.</w:t>
      </w:r>
      <w:r>
        <w:rPr>
          <w:sz w:val="20"/>
          <w:szCs w:val="20"/>
          <w:color w:val="auto"/>
        </w:rPr>
        <w:tab/>
      </w:r>
      <w:r>
        <w:rPr>
          <w:rFonts w:ascii="Courier New" w:cs="Courier New" w:eastAsia="Courier New" w:hAnsi="Courier New"/>
          <w:sz w:val="16"/>
          <w:szCs w:val="16"/>
          <w:color w:val="auto"/>
        </w:rPr>
        <w:t>As a result of the debt-to-equity</w:t>
      </w:r>
    </w:p>
    <w:p>
      <w:pPr>
        <w:spacing w:after="0"/>
        <w:rPr>
          <w:sz w:val="20"/>
          <w:szCs w:val="20"/>
          <w:color w:val="auto"/>
        </w:rPr>
      </w:pPr>
      <w:r>
        <w:rPr>
          <w:rFonts w:ascii="Courier New" w:cs="Courier New" w:eastAsia="Courier New" w:hAnsi="Courier New"/>
          <w:sz w:val="18"/>
          <w:szCs w:val="18"/>
          <w:color w:val="auto"/>
        </w:rPr>
        <w:t>exchange and the contribution to capital of additional indebtedness formerly</w:t>
      </w:r>
    </w:p>
    <w:p>
      <w:pPr>
        <w:spacing w:after="0" w:line="237" w:lineRule="auto"/>
        <w:rPr>
          <w:sz w:val="20"/>
          <w:szCs w:val="20"/>
          <w:color w:val="auto"/>
        </w:rPr>
      </w:pPr>
      <w:r>
        <w:rPr>
          <w:rFonts w:ascii="Courier New" w:cs="Courier New" w:eastAsia="Courier New" w:hAnsi="Courier New"/>
          <w:sz w:val="18"/>
          <w:szCs w:val="18"/>
          <w:color w:val="auto"/>
        </w:rPr>
        <w:t>owed to TPR, the Company's outstanding indebtedness has been reduced from</w:t>
      </w:r>
    </w:p>
    <w:p>
      <w:pPr>
        <w:spacing w:after="0"/>
        <w:rPr>
          <w:sz w:val="20"/>
          <w:szCs w:val="20"/>
          <w:color w:val="auto"/>
        </w:rPr>
      </w:pPr>
      <w:r>
        <w:rPr>
          <w:rFonts w:ascii="Courier New" w:cs="Courier New" w:eastAsia="Courier New" w:hAnsi="Courier New"/>
          <w:sz w:val="18"/>
          <w:szCs w:val="18"/>
          <w:color w:val="auto"/>
        </w:rPr>
        <w:t>approximately $2,916,000 at December 8, 1999 to approximately $958,283 at June</w:t>
      </w:r>
    </w:p>
    <w:p>
      <w:pPr>
        <w:spacing w:after="0" w:line="237" w:lineRule="auto"/>
        <w:tabs>
          <w:tab w:leader="none" w:pos="7360" w:val="left"/>
        </w:tabs>
        <w:rPr>
          <w:sz w:val="20"/>
          <w:szCs w:val="20"/>
          <w:color w:val="auto"/>
        </w:rPr>
      </w:pPr>
      <w:r>
        <w:rPr>
          <w:rFonts w:ascii="Courier New" w:cs="Courier New" w:eastAsia="Courier New" w:hAnsi="Courier New"/>
          <w:sz w:val="18"/>
          <w:szCs w:val="18"/>
          <w:color w:val="auto"/>
        </w:rPr>
        <w:t>18, 1999. Subject to certain further conditions, TPR has also agreed</w:t>
        <w:tab/>
        <w:t>to</w:t>
      </w:r>
    </w:p>
    <w:p>
      <w:pPr>
        <w:spacing w:after="0"/>
        <w:rPr>
          <w:sz w:val="20"/>
          <w:szCs w:val="20"/>
          <w:color w:val="auto"/>
        </w:rPr>
      </w:pPr>
      <w:r>
        <w:rPr>
          <w:rFonts w:ascii="Courier New" w:cs="Courier New" w:eastAsia="Courier New" w:hAnsi="Courier New"/>
          <w:sz w:val="18"/>
          <w:szCs w:val="18"/>
          <w:color w:val="auto"/>
        </w:rPr>
        <w:t>exchange, at a future date, an additional $721,000 of the Company's secured</w:t>
      </w:r>
    </w:p>
    <w:p>
      <w:pPr>
        <w:spacing w:after="0" w:line="237" w:lineRule="auto"/>
        <w:rPr>
          <w:sz w:val="20"/>
          <w:szCs w:val="20"/>
          <w:color w:val="auto"/>
        </w:rPr>
      </w:pPr>
      <w:r>
        <w:rPr>
          <w:rFonts w:ascii="Courier New" w:cs="Courier New" w:eastAsia="Courier New" w:hAnsi="Courier New"/>
          <w:sz w:val="18"/>
          <w:szCs w:val="18"/>
          <w:color w:val="auto"/>
        </w:rPr>
        <w:t>indebtedness for shares of a second series of the Company's preferred stock</w:t>
      </w:r>
    </w:p>
    <w:p>
      <w:pPr>
        <w:spacing w:after="0" w:line="238" w:lineRule="auto"/>
        <w:rPr>
          <w:sz w:val="20"/>
          <w:szCs w:val="20"/>
          <w:color w:val="auto"/>
        </w:rPr>
      </w:pPr>
      <w:r>
        <w:rPr>
          <w:rFonts w:ascii="Courier New" w:cs="Courier New" w:eastAsia="Courier New" w:hAnsi="Courier New"/>
          <w:sz w:val="18"/>
          <w:szCs w:val="18"/>
          <w:color w:val="auto"/>
        </w:rPr>
        <w:t>(the Series C Preferred Stock), which would be convertible into an additional</w:t>
      </w:r>
    </w:p>
    <w:p>
      <w:pPr>
        <w:spacing w:after="0"/>
        <w:rPr>
          <w:sz w:val="20"/>
          <w:szCs w:val="20"/>
          <w:color w:val="auto"/>
        </w:rPr>
      </w:pPr>
      <w:r>
        <w:rPr>
          <w:rFonts w:ascii="Courier New" w:cs="Courier New" w:eastAsia="Courier New" w:hAnsi="Courier New"/>
          <w:sz w:val="18"/>
          <w:szCs w:val="18"/>
          <w:color w:val="auto"/>
        </w:rPr>
        <w:t>6,000,000 shares of the Company's common stock.</w:t>
      </w:r>
    </w:p>
    <w:p>
      <w:pPr>
        <w:spacing w:after="0" w:line="206" w:lineRule="exact"/>
        <w:rPr>
          <w:sz w:val="20"/>
          <w:szCs w:val="20"/>
          <w:color w:val="auto"/>
        </w:rPr>
      </w:pPr>
    </w:p>
    <w:p>
      <w:pPr>
        <w:ind w:right="1779" w:firstLine="211"/>
        <w:spacing w:after="0" w:line="237" w:lineRule="auto"/>
        <w:rPr>
          <w:sz w:val="20"/>
          <w:szCs w:val="20"/>
          <w:color w:val="auto"/>
        </w:rPr>
      </w:pPr>
      <w:r>
        <w:rPr>
          <w:rFonts w:ascii="Courier New" w:cs="Courier New" w:eastAsia="Courier New" w:hAnsi="Courier New"/>
          <w:sz w:val="18"/>
          <w:szCs w:val="18"/>
          <w:color w:val="auto"/>
        </w:rPr>
        <w:t>After giving effect to the issuance of 1,726,946 shares in connection with the debt restructuring, and taking into account the 20,000,000 shares of the Company's common stock issuable to TPR upon conversion of the Series B Preferred Stock, an aggregate of approximately 25,076,508 shares of the Company's common stock were outstanding as of June 18, 1999. Of these shares, TPR owns approximately 20,826,741 shares, or approximately 83%, and the other former creditors and stockholders of the Company own approximately 4,249,767 shares, or approximately 17%. As of June 18, 1999, an additional 1,198,000 shares of common stock were issuable upon exercise of outstanding stock options and warrants and conversion of outstanding Series A Preferred Stock. Page &lt;6)</w:t>
      </w:r>
    </w:p>
    <w:p>
      <w:pPr>
        <w:spacing w:after="0" w:line="13"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As holder of the Series B Preferred Stock, TPR will be entitled to elect a majority of the directors of the Company and to vote along with the Company's common stock holders on all other matters, with the right to cast one vote for each share of the Company's Common Stock into which the Series B Preferred Stock is then convertible. TPR has agreed to use its best efforts to assist the Company in developing a technical consulting business and/or developing or acquiring such other business or businesses as the officers and directors of the Company, in consultation with TPR, deem desirable and appropriate (although no such acquisition is currently contemplated).</w:t>
      </w:r>
    </w:p>
    <w:p>
      <w:pPr>
        <w:spacing w:after="0" w:line="214" w:lineRule="exact"/>
        <w:rPr>
          <w:sz w:val="20"/>
          <w:szCs w:val="20"/>
          <w:color w:val="auto"/>
        </w:rPr>
      </w:pPr>
    </w:p>
    <w:p>
      <w:pPr>
        <w:ind w:right="1879" w:firstLine="527"/>
        <w:spacing w:after="0" w:line="237" w:lineRule="auto"/>
        <w:rPr>
          <w:sz w:val="20"/>
          <w:szCs w:val="20"/>
          <w:color w:val="auto"/>
        </w:rPr>
      </w:pPr>
      <w:r>
        <w:rPr>
          <w:rFonts w:ascii="Courier New" w:cs="Courier New" w:eastAsia="Courier New" w:hAnsi="Courier New"/>
          <w:sz w:val="18"/>
          <w:szCs w:val="18"/>
          <w:color w:val="auto"/>
        </w:rPr>
        <w:t>InterActive Inc. designs, manufactures and markets personal computer-based multimedia products for use over the Internet and local area networks and in kiosks and security systems. InterActive's corporate headquarters are located at 204 North Main, Humboldt, South Dakota. The telephone number is 605-363-5117 and fax number is 605-363-5102. InterActive's home page address is http://www.iact.com.</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6</w:t>
      </w:r>
    </w:p>
    <w:sectPr>
      <w:pgSz w:w="11900" w:h="16838" w:orient="portrait"/>
      <w:cols w:equalWidth="0" w:num="1">
        <w:col w:w="10219"/>
      </w:cols>
      <w:pgMar w:left="240" w:top="7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A"/>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2020-02-22T11:55:51Z</dcterms:created>
  <dcterms:modified xsi:type="dcterms:W3CDTF">2020-02-22T11:55:51Z</dcterms:modified>
</cp:coreProperties>
</file>