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r>
    </w:p>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THE SECURITIES EXCHANGE ACT OF 1934 </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March 19, 2026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Arrowhead Pharmaceuticals,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2" w:type="dxa"/>
        <w:jc w:val="center"/>
        <w:tblInd w:w="0" w:type="dxa"/>
        <w:tblLayout w:type="fixed"/>
        <w:tblCellMar>
          <w:top w:w="28" w:type="dxa"/>
          <w:left w:w="28" w:type="dxa"/>
          <w:bottom w:w="28" w:type="dxa"/>
          <w:right w:w="28" w:type="dxa"/>
        </w:tblCellMar>
      </w:tblPr>
      <w:tblGrid>
        <w:gridCol w:w="699"/>
        <w:gridCol w:w="615"/>
        <w:gridCol w:w="621"/>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46-0408024</w:t>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177 E. Colorado Blvd, Suite 700, Pasadena, CA 91105</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(626) 304-3400</w:t>
      </w:r>
    </w:p>
    <w:p>
      <w:pPr>
        <w:pStyle w:val="TextBody"/>
        <w:bidi w:val="0"/>
        <w:spacing w:lineRule="auto" w:line="276" w:before="0" w:after="0"/>
        <w:jc w:val="center"/>
        <w:rPr/>
      </w:pPr>
      <w:r>
        <w:rPr>
          <w:rFonts w:ascii="Times New Roman;serif" w:hAnsi="Times New Roman;serif"/>
          <w:b/>
          <w:color w:val="000000"/>
          <w:sz w:val="16"/>
        </w:rPr>
        <w:t>(Registrant’s telephone number, including area code)</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 (c) under the Exchange Act (17 CFR 240.13e-4(c))</w:t>
            </w:r>
          </w:p>
        </w:tc>
      </w:tr>
    </w:tbl>
    <w:tbl>
      <w:tblPr>
        <w:tblW w:w="9707" w:type="dxa"/>
        <w:jc w:val="center"/>
        <w:tblInd w:w="0" w:type="dxa"/>
        <w:tblLayout w:type="fixed"/>
        <w:tblCellMar>
          <w:top w:w="28" w:type="dxa"/>
          <w:left w:w="28" w:type="dxa"/>
          <w:bottom w:w="28" w:type="dxa"/>
          <w:right w:w="28" w:type="dxa"/>
        </w:tblCellMar>
      </w:tblPr>
      <w:tblGrid>
        <w:gridCol w:w="1187"/>
        <w:gridCol w:w="1041"/>
        <w:gridCol w:w="1041"/>
        <w:gridCol w:w="278"/>
        <w:gridCol w:w="278"/>
        <w:gridCol w:w="278"/>
        <w:gridCol w:w="485"/>
        <w:gridCol w:w="485"/>
        <w:gridCol w:w="485"/>
        <w:gridCol w:w="278"/>
        <w:gridCol w:w="278"/>
        <w:gridCol w:w="278"/>
        <w:gridCol w:w="971"/>
        <w:gridCol w:w="971"/>
        <w:gridCol w:w="1373"/>
      </w:tblGrid>
      <w:tr>
        <w:trPr/>
        <w:tc>
          <w:tcPr>
            <w:tcW w:w="118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6"/>
              <w:jc w:val="center"/>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ARWR</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proposals were submitted to the stockholders of Arrowhead Pharmaceuticals, Inc. (the “Company”) at the 2026 Annual Meeting of Stockholders held on March 19, 2026:</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To elect seven directors to serve as members of the Company’s Board of Directors until the next Annual Meeting or until their successors are elected;</w:t>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To approve, on an advisory (non-binding) basis, of the compensation of the Company’s named executive officers (the “Say-on-Pay Proposal”);</w:t>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To approve the Arrowhead Pharmaceuticals, Inc. Amended and Restated 2021 Incentive Plan; and</w:t>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To ratify the appointment of KPMG LLP as independent auditors of the Company for the fiscal year ending September 30, 2026.</w:t>
      </w:r>
    </w:p>
    <w:p>
      <w:pPr>
        <w:pStyle w:val="TextBody"/>
        <w:bidi w:val="0"/>
        <w:spacing w:before="0" w:after="0"/>
        <w:jc w:val="left"/>
        <w:rPr/>
      </w:pPr>
      <w:r>
        <w:rPr/>
      </w:r>
    </w:p>
    <w:p>
      <w:pPr>
        <w:pStyle w:val="TextBody"/>
        <w:bidi w:val="0"/>
        <w:spacing w:lineRule="auto" w:line="232" w:before="0" w:after="0"/>
        <w:jc w:val="left"/>
        <w:rPr>
          <w:rFonts w:ascii="Times New Roman;serif" w:hAnsi="Times New Roman;serif"/>
          <w:b w:val="false"/>
          <w:color w:val="000000"/>
          <w:sz w:val="20"/>
        </w:rPr>
      </w:pPr>
      <w:r>
        <w:rPr>
          <w:rFonts w:ascii="Times New Roman;serif" w:hAnsi="Times New Roman;serif"/>
          <w:b w:val="false"/>
          <w:color w:val="000000"/>
          <w:sz w:val="20"/>
        </w:rPr>
        <w:t>As of January 22, 2026, the record date for the Annual Meeting, the Company had 140,010,690 shares of its common stock outstanding and entitled to vote. At the Annual Meeting 119,801,542 shares were present in person or represented by proxy and entitled to vote. Based on the votes cast in person and by proxy, each proposal passed, including the election of each director, other than the Say-on-Pay Proposal. The number of votes cast for and against and the number of abstentions and broker non-votes with respect to each matter voted upon are set forth below:</w:t>
      </w:r>
    </w:p>
    <w:p>
      <w:pPr>
        <w:pStyle w:val="TextBody"/>
        <w:bidi w:val="0"/>
        <w:spacing w:before="0" w:after="0"/>
        <w:jc w:val="left"/>
        <w:rPr/>
      </w:pPr>
      <w:r>
        <w:rPr/>
      </w:r>
    </w:p>
    <w:p>
      <w:pPr>
        <w:pStyle w:val="TextBody"/>
        <w:bidi w:val="0"/>
        <w:spacing w:lineRule="auto" w:line="232" w:before="0" w:after="0"/>
        <w:jc w:val="left"/>
        <w:rPr>
          <w:rFonts w:ascii="Times New Roman;serif" w:hAnsi="Times New Roman;serif"/>
          <w:b/>
          <w:i/>
          <w:color w:val="000000"/>
          <w:sz w:val="20"/>
        </w:rPr>
      </w:pPr>
      <w:r>
        <w:rPr>
          <w:rFonts w:ascii="Times New Roman;serif" w:hAnsi="Times New Roman;serif"/>
          <w:b/>
          <w:i/>
          <w:color w:val="000000"/>
          <w:sz w:val="20"/>
        </w:rPr>
        <w:t>Election of Directors</w:t>
      </w:r>
    </w:p>
    <w:p>
      <w:pPr>
        <w:pStyle w:val="TextBody"/>
        <w:bidi w:val="0"/>
        <w:spacing w:before="0" w:after="0"/>
        <w:jc w:val="left"/>
        <w:rPr/>
      </w:pPr>
      <w:r>
        <w:rPr/>
      </w:r>
    </w:p>
    <w:tbl>
      <w:tblPr>
        <w:tblW w:w="5436" w:type="dxa"/>
        <w:jc w:val="left"/>
        <w:tblInd w:w="0" w:type="dxa"/>
        <w:tblLayout w:type="fixed"/>
        <w:tblCellMar>
          <w:top w:w="28" w:type="dxa"/>
          <w:left w:w="28" w:type="dxa"/>
          <w:bottom w:w="28" w:type="dxa"/>
          <w:right w:w="28" w:type="dxa"/>
        </w:tblCellMar>
      </w:tblPr>
      <w:tblGrid>
        <w:gridCol w:w="565"/>
        <w:gridCol w:w="496"/>
        <w:gridCol w:w="499"/>
        <w:gridCol w:w="334"/>
        <w:gridCol w:w="334"/>
        <w:gridCol w:w="338"/>
        <w:gridCol w:w="304"/>
        <w:gridCol w:w="304"/>
        <w:gridCol w:w="308"/>
        <w:gridCol w:w="275"/>
        <w:gridCol w:w="275"/>
        <w:gridCol w:w="276"/>
        <w:gridCol w:w="330"/>
        <w:gridCol w:w="330"/>
        <w:gridCol w:w="468"/>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ind w:left="0" w:right="0" w:firstLine="17"/>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NAME</w:t>
            </w:r>
          </w:p>
        </w:tc>
        <w:tc>
          <w:tcPr>
            <w:tcW w:w="100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w:t>
            </w:r>
          </w:p>
        </w:tc>
        <w:tc>
          <w:tcPr>
            <w:tcW w:w="91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AGAINST</w:t>
            </w:r>
          </w:p>
        </w:tc>
        <w:tc>
          <w:tcPr>
            <w:tcW w:w="82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ABSTAIN</w:t>
            </w:r>
          </w:p>
        </w:tc>
        <w:tc>
          <w:tcPr>
            <w:tcW w:w="1128" w:type="dxa"/>
            <w:gridSpan w:val="3"/>
            <w:tcBorders/>
            <w:tcMar>
              <w:top w:w="0" w:type="dxa"/>
              <w:left w:w="0" w:type="dxa"/>
              <w:bottom w:w="0" w:type="dxa"/>
              <w:right w:w="0" w:type="dxa"/>
            </w:tcMar>
            <w:vAlign w:val="center"/>
          </w:tcPr>
          <w:p>
            <w:pPr>
              <w:pStyle w:val="TableContents"/>
              <w:bidi w:val="0"/>
              <w:spacing w:lineRule="auto" w:line="199" w:before="0" w:after="283"/>
              <w:ind w:left="0" w:right="0" w:firstLine="17"/>
              <w:jc w:val="right"/>
              <w:rPr>
                <w:rFonts w:ascii="Times New Roman;serif" w:hAnsi="Times New Roman;serif"/>
                <w:b w:val="false"/>
                <w:color w:val="000000"/>
                <w:sz w:val="16"/>
                <w:u w:val="single"/>
              </w:rPr>
            </w:pPr>
            <w:r>
              <w:rPr>
                <w:rFonts w:ascii="Times New Roman;serif" w:hAnsi="Times New Roman;serif"/>
                <w:b w:val="false"/>
                <w:color w:val="000000"/>
                <w:sz w:val="16"/>
                <w:u w:val="single"/>
              </w:rPr>
              <w:t>NON-VOTES</w:t>
            </w:r>
          </w:p>
        </w:tc>
      </w:tr>
      <w:tr>
        <w:trPr/>
        <w:tc>
          <w:tcPr>
            <w:tcW w:w="1560"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Christopher Anzalon</w:t>
            </w:r>
          </w:p>
        </w:tc>
        <w:tc>
          <w:tcPr>
            <w:tcW w:w="100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100,146,366</w:t>
            </w:r>
          </w:p>
        </w:tc>
        <w:tc>
          <w:tcPr>
            <w:tcW w:w="91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1,622,011</w:t>
            </w:r>
          </w:p>
        </w:tc>
        <w:tc>
          <w:tcPr>
            <w:tcW w:w="82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77,607</w:t>
            </w:r>
          </w:p>
        </w:tc>
        <w:tc>
          <w:tcPr>
            <w:tcW w:w="1128" w:type="dxa"/>
            <w:gridSpan w:val="3"/>
            <w:tcBorders/>
            <w:shd w:fill="BEE3FF" w:val="clear"/>
            <w:tcMar>
              <w:top w:w="0" w:type="dxa"/>
              <w:left w:w="0" w:type="dxa"/>
              <w:bottom w:w="0" w:type="dxa"/>
              <w:right w:w="0" w:type="dxa"/>
            </w:tcMar>
            <w:vAlign w:val="center"/>
          </w:tcPr>
          <w:p>
            <w:pPr>
              <w:pStyle w:val="TableContents"/>
              <w:bidi w:val="0"/>
              <w:spacing w:lineRule="auto" w:line="268" w:before="0" w:after="283"/>
              <w:ind w:left="0" w:right="0" w:firstLine="17"/>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r>
        <w:trPr/>
        <w:tc>
          <w:tcPr>
            <w:tcW w:w="15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Mauro Ferrar</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99,784,848</w:t>
            </w:r>
          </w:p>
        </w:tc>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1,986,678</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74,458</w:t>
            </w:r>
          </w:p>
        </w:tc>
        <w:tc>
          <w:tcPr>
            <w:tcW w:w="112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r>
        <w:trPr/>
        <w:tc>
          <w:tcPr>
            <w:tcW w:w="1560"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Hongbo L</w:t>
            </w:r>
          </w:p>
        </w:tc>
        <w:tc>
          <w:tcPr>
            <w:tcW w:w="100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92,692,428</w:t>
            </w:r>
          </w:p>
        </w:tc>
        <w:tc>
          <w:tcPr>
            <w:tcW w:w="91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8,971,012</w:t>
            </w:r>
          </w:p>
        </w:tc>
        <w:tc>
          <w:tcPr>
            <w:tcW w:w="82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182,544</w:t>
            </w:r>
          </w:p>
        </w:tc>
        <w:tc>
          <w:tcPr>
            <w:tcW w:w="1128" w:type="dxa"/>
            <w:gridSpan w:val="3"/>
            <w:tcBorders/>
            <w:shd w:fill="BEE3FF" w:val="clear"/>
            <w:tcMar>
              <w:top w:w="0" w:type="dxa"/>
              <w:left w:w="0" w:type="dxa"/>
              <w:bottom w:w="0" w:type="dxa"/>
              <w:right w:w="0" w:type="dxa"/>
            </w:tcMar>
            <w:vAlign w:val="center"/>
          </w:tcPr>
          <w:p>
            <w:pPr>
              <w:pStyle w:val="TableContents"/>
              <w:bidi w:val="0"/>
              <w:spacing w:lineRule="auto" w:line="268" w:before="0" w:after="283"/>
              <w:ind w:left="0" w:right="0" w:firstLine="17"/>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r>
        <w:trPr/>
        <w:tc>
          <w:tcPr>
            <w:tcW w:w="15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Adeoye Olukoto</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100,808,855</w:t>
            </w:r>
          </w:p>
        </w:tc>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852,631</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184,498</w:t>
            </w:r>
          </w:p>
        </w:tc>
        <w:tc>
          <w:tcPr>
            <w:tcW w:w="112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r>
        <w:trPr/>
        <w:tc>
          <w:tcPr>
            <w:tcW w:w="1560"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Michael Perr</w:t>
            </w:r>
          </w:p>
        </w:tc>
        <w:tc>
          <w:tcPr>
            <w:tcW w:w="100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70,427,879</w:t>
            </w:r>
          </w:p>
        </w:tc>
        <w:tc>
          <w:tcPr>
            <w:tcW w:w="91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31,342,814</w:t>
            </w:r>
          </w:p>
        </w:tc>
        <w:tc>
          <w:tcPr>
            <w:tcW w:w="82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75,291</w:t>
            </w:r>
          </w:p>
        </w:tc>
        <w:tc>
          <w:tcPr>
            <w:tcW w:w="1128" w:type="dxa"/>
            <w:gridSpan w:val="3"/>
            <w:tcBorders/>
            <w:shd w:fill="BEE3FF" w:val="clear"/>
            <w:tcMar>
              <w:top w:w="0" w:type="dxa"/>
              <w:left w:w="0" w:type="dxa"/>
              <w:bottom w:w="0" w:type="dxa"/>
              <w:right w:w="0" w:type="dxa"/>
            </w:tcMar>
            <w:vAlign w:val="center"/>
          </w:tcPr>
          <w:p>
            <w:pPr>
              <w:pStyle w:val="TableContents"/>
              <w:bidi w:val="0"/>
              <w:spacing w:lineRule="auto" w:line="268" w:before="0" w:after="283"/>
              <w:ind w:left="0" w:right="0" w:firstLine="17"/>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r>
        <w:trPr/>
        <w:tc>
          <w:tcPr>
            <w:tcW w:w="15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Victoria Vakiene</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99,264,191</w:t>
            </w:r>
          </w:p>
        </w:tc>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2,506,051</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75,742</w:t>
            </w:r>
          </w:p>
        </w:tc>
        <w:tc>
          <w:tcPr>
            <w:tcW w:w="112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r>
        <w:trPr/>
        <w:tc>
          <w:tcPr>
            <w:tcW w:w="1560"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William Waddill</w:t>
            </w:r>
          </w:p>
        </w:tc>
        <w:tc>
          <w:tcPr>
            <w:tcW w:w="100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91,907,466</w:t>
            </w:r>
          </w:p>
        </w:tc>
        <w:tc>
          <w:tcPr>
            <w:tcW w:w="91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9,861,644</w:t>
            </w:r>
          </w:p>
        </w:tc>
        <w:tc>
          <w:tcPr>
            <w:tcW w:w="826"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256,341</w:t>
            </w:r>
          </w:p>
        </w:tc>
        <w:tc>
          <w:tcPr>
            <w:tcW w:w="1128" w:type="dxa"/>
            <w:gridSpan w:val="3"/>
            <w:tcBorders/>
            <w:shd w:fill="BEE3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17,955,558</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2" w:before="0" w:after="0"/>
        <w:jc w:val="left"/>
        <w:rPr>
          <w:rFonts w:ascii="Times New Roman;serif" w:hAnsi="Times New Roman;serif"/>
          <w:b/>
          <w:i/>
          <w:color w:val="000000"/>
          <w:sz w:val="20"/>
        </w:rPr>
      </w:pPr>
      <w:r>
        <w:rPr>
          <w:rFonts w:ascii="Times New Roman;serif" w:hAnsi="Times New Roman;serif"/>
          <w:b/>
          <w:i/>
          <w:color w:val="000000"/>
          <w:sz w:val="20"/>
        </w:rPr>
        <w:t>Advisory Vote to Approve Executive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41,625,740 FOR; 59,963,903 AGAINST; 256,341 ABSTAIN; 17,955,558 NON-VOTES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Vote to Approve the Arrowhead Pharmaceuticals, Inc. Amended and Restated 2021 Incentive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99,158,276 FOR; 2,401,793 AGAINST; 285,915 ABSTAIN; 17,955,558 NON-VOTES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Ratification of the appointment of KPMG LLP as independent auditors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119,053,168 FOR; 371,668 AGAINST; 376,706 ABSTAIN; 0 NON-VOTES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916" w:type="dxa"/>
        <w:jc w:val="center"/>
        <w:tblInd w:w="0" w:type="dxa"/>
        <w:tblLayout w:type="fixed"/>
        <w:tblCellMar>
          <w:top w:w="28" w:type="dxa"/>
          <w:left w:w="28" w:type="dxa"/>
          <w:bottom w:w="28" w:type="dxa"/>
          <w:right w:w="28" w:type="dxa"/>
        </w:tblCellMar>
      </w:tblPr>
      <w:tblGrid>
        <w:gridCol w:w="342"/>
        <w:gridCol w:w="300"/>
        <w:gridCol w:w="303"/>
        <w:gridCol w:w="109"/>
        <w:gridCol w:w="109"/>
        <w:gridCol w:w="109"/>
        <w:gridCol w:w="1938"/>
        <w:gridCol w:w="1938"/>
        <w:gridCol w:w="276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bl>
      <w:tblPr>
        <w:tblW w:w="4447" w:type="dxa"/>
        <w:jc w:val="left"/>
        <w:tblInd w:w="0" w:type="dxa"/>
        <w:tblLayout w:type="fixed"/>
        <w:tblCellMar>
          <w:top w:w="28" w:type="dxa"/>
          <w:left w:w="28" w:type="dxa"/>
          <w:bottom w:w="28" w:type="dxa"/>
          <w:right w:w="28" w:type="dxa"/>
        </w:tblCellMar>
      </w:tblPr>
      <w:tblGrid>
        <w:gridCol w:w="453"/>
        <w:gridCol w:w="397"/>
        <w:gridCol w:w="397"/>
        <w:gridCol w:w="397"/>
        <w:gridCol w:w="397"/>
        <w:gridCol w:w="397"/>
        <w:gridCol w:w="582"/>
        <w:gridCol w:w="582"/>
        <w:gridCol w:w="845"/>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4447"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0"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2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3901</Characters>
  <CharactersWithSpaces>4494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