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6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63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639"/>
        <w:spacing w:after="0"/>
        <w:rPr>
          <w:sz w:val="20"/>
          <w:szCs w:val="20"/>
          <w:color w:val="auto"/>
        </w:rPr>
      </w:pPr>
      <w:r>
        <w:rPr>
          <w:rFonts w:ascii="Arial" w:cs="Arial" w:eastAsia="Arial" w:hAnsi="Arial"/>
          <w:sz w:val="22"/>
          <w:szCs w:val="22"/>
          <w:b w:val="1"/>
          <w:bCs w:val="1"/>
          <w:color w:val="auto"/>
        </w:rPr>
        <w:t>SCHEDULE 13D</w:t>
      </w:r>
    </w:p>
    <w:p>
      <w:pPr>
        <w:spacing w:after="0" w:line="229"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619"/>
        <w:spacing w:after="0"/>
        <w:tabs>
          <w:tab w:leader="none" w:pos="220" w:val="left"/>
        </w:tabs>
        <w:rPr>
          <w:sz w:val="20"/>
          <w:szCs w:val="20"/>
          <w:color w:val="auto"/>
        </w:rPr>
      </w:pPr>
      <w:r>
        <w:rPr>
          <w:rFonts w:ascii="Arial" w:cs="Arial" w:eastAsia="Arial" w:hAnsi="Arial"/>
          <w:sz w:val="18"/>
          <w:szCs w:val="18"/>
          <w:b w:val="1"/>
          <w:bCs w:val="1"/>
          <w:color w:val="auto"/>
        </w:rPr>
        <w:t>(Amendment No.</w:t>
        <w:tab/>
        <w:t>)*</w:t>
      </w:r>
    </w:p>
    <w:p>
      <w:pPr>
        <w:spacing w:after="0" w:line="211"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Arrowhead Research Corporation</w:t>
      </w:r>
    </w:p>
    <w:p>
      <w:pPr>
        <w:spacing w:after="0" w:line="64"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40"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042797209</w:t>
      </w:r>
    </w:p>
    <w:p>
      <w:pPr>
        <w:spacing w:after="0" w:line="54"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Scott Brown</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General Counsel</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Novartis Institutes for BioMedical Research, Inc.</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250 Massachusetts Avenue</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Cambridge, MA 02139</w:t>
      </w:r>
    </w:p>
    <w:p>
      <w:pPr>
        <w:spacing w:after="0" w:line="9" w:lineRule="exact"/>
        <w:rPr>
          <w:sz w:val="24"/>
          <w:szCs w:val="24"/>
          <w:color w:val="auto"/>
        </w:rPr>
      </w:pPr>
    </w:p>
    <w:p>
      <w:pPr>
        <w:jc w:val="right"/>
        <w:ind w:left="5060" w:right="4440" w:firstLine="32"/>
        <w:spacing w:after="0" w:line="551" w:lineRule="auto"/>
        <w:tabs>
          <w:tab w:leader="none" w:pos="5523" w:val="left"/>
        </w:tabs>
        <w:numPr>
          <w:ilvl w:val="1"/>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871-8000 With a copy to:</w:t>
      </w:r>
    </w:p>
    <w:p>
      <w:pPr>
        <w:spacing w:after="0" w:line="1" w:lineRule="exact"/>
        <w:rPr>
          <w:rFonts w:ascii="Arial" w:cs="Arial" w:eastAsia="Arial" w:hAnsi="Arial"/>
          <w:sz w:val="16"/>
          <w:szCs w:val="16"/>
          <w:b w:val="1"/>
          <w:bCs w:val="1"/>
          <w:color w:val="auto"/>
        </w:rPr>
      </w:pPr>
    </w:p>
    <w:p>
      <w:pPr>
        <w:ind w:left="504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G. Scott Lesmes</w:t>
      </w:r>
    </w:p>
    <w:p>
      <w:pPr>
        <w:spacing w:after="0" w:line="27" w:lineRule="exact"/>
        <w:rPr>
          <w:rFonts w:ascii="Arial" w:cs="Arial" w:eastAsia="Arial" w:hAnsi="Arial"/>
          <w:sz w:val="16"/>
          <w:szCs w:val="16"/>
          <w:b w:val="1"/>
          <w:bCs w:val="1"/>
          <w:color w:val="auto"/>
        </w:rPr>
      </w:pPr>
    </w:p>
    <w:p>
      <w:pPr>
        <w:ind w:left="464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Morrison &amp; Foerster LLP</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2000 Pennsylvania Avenue NW, Suite 6000</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Washington, D.C. 20006</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(202) 887-1500</w:t>
      </w:r>
    </w:p>
    <w:p>
      <w:pPr>
        <w:spacing w:after="0" w:line="35"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(Name, Address and Telephone Number of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Authorized to Receive Notices and Communications)</w:t>
      </w:r>
    </w:p>
    <w:p>
      <w:pPr>
        <w:spacing w:after="0" w:line="234"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March 12, 2015</w:t>
      </w:r>
    </w:p>
    <w:p>
      <w:pPr>
        <w:spacing w:after="0" w:line="40"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ind w:left="60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§§240.13d-1(e), 240.13d-l(f) or 240.13d-l(g), check the following box. o</w:t>
      </w:r>
    </w:p>
    <w:p>
      <w:pPr>
        <w:spacing w:after="0" w:line="49" w:lineRule="exact"/>
        <w:rPr>
          <w:sz w:val="24"/>
          <w:szCs w:val="24"/>
          <w:color w:val="auto"/>
        </w:rPr>
      </w:pPr>
    </w:p>
    <w:p>
      <w:pPr>
        <w:ind w:left="600" w:right="220" w:hanging="4"/>
        <w:spacing w:after="0" w:line="342" w:lineRule="auto"/>
        <w:tabs>
          <w:tab w:leader="none" w:pos="735"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 w:lineRule="exact"/>
        <w:rPr>
          <w:sz w:val="24"/>
          <w:szCs w:val="24"/>
          <w:color w:val="auto"/>
        </w:rPr>
      </w:pPr>
    </w:p>
    <w:p>
      <w:pPr>
        <w:ind w:left="600" w:right="40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207645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8"/>
          <w:szCs w:val="18"/>
          <w:color w:val="auto"/>
        </w:rPr>
        <w:t>CUSIP No.  042797209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100330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040" w:hanging="646"/>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Novartis Institutes for BioMedical Research, Inc.</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1040" w:hanging="646"/>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65" w:lineRule="exact"/>
        <w:rPr>
          <w:rFonts w:ascii="Arial" w:cs="Arial" w:eastAsia="Arial" w:hAnsi="Arial"/>
          <w:sz w:val="18"/>
          <w:szCs w:val="18"/>
          <w:color w:val="auto"/>
        </w:rPr>
      </w:pPr>
    </w:p>
    <w:p>
      <w:pPr>
        <w:ind w:left="2100" w:hanging="1058"/>
        <w:spacing w:after="0"/>
        <w:tabs>
          <w:tab w:leader="none" w:pos="2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198" w:lineRule="exact"/>
        <w:rPr>
          <w:rFonts w:ascii="Arial" w:cs="Arial" w:eastAsia="Arial" w:hAnsi="Arial"/>
          <w:sz w:val="18"/>
          <w:szCs w:val="18"/>
          <w:color w:val="auto"/>
        </w:rPr>
      </w:pPr>
    </w:p>
    <w:p>
      <w:pPr>
        <w:ind w:left="2100" w:hanging="1058"/>
        <w:spacing w:after="0"/>
        <w:tabs>
          <w:tab w:leader="none" w:pos="2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40" w:hanging="646"/>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627380</wp:posOffset>
            </wp:positionH>
            <wp:positionV relativeFrom="paragraph">
              <wp:posOffset>100330</wp:posOffset>
            </wp:positionV>
            <wp:extent cx="65862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1270635</wp:posOffset>
            </wp:positionH>
            <wp:positionV relativeFrom="paragraph">
              <wp:posOffset>-499110</wp:posOffset>
            </wp:positionV>
            <wp:extent cx="59429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1270635</wp:posOffset>
            </wp:positionH>
            <wp:positionV relativeFrom="paragraph">
              <wp:posOffset>-756285</wp:posOffset>
            </wp:positionV>
            <wp:extent cx="59429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-1605280</wp:posOffset>
            </wp:positionV>
            <wp:extent cx="65862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0680"/>
          </w:cols>
          <w:pgMar w:left="300" w:top="463" w:right="919" w:bottom="0" w:gutter="0" w:footer="0" w:header="0"/>
        </w:sectPr>
      </w:pPr>
    </w:p>
    <w:bookmarkStart w:id="1" w:name="page2"/>
    <w:bookmarkEnd w:id="1"/>
    <w:p>
      <w:pPr>
        <w:ind w:left="460"/>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Source of Funds (See Instructions)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91440</wp:posOffset>
            </wp:positionV>
            <wp:extent cx="65862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tabs>
          <w:tab w:leader="none" w:pos="6280" w:val="left"/>
        </w:tabs>
        <w:rPr>
          <w:sz w:val="20"/>
          <w:szCs w:val="20"/>
          <w:color w:val="auto"/>
        </w:rPr>
      </w:pPr>
      <w:r>
        <w:rPr>
          <w:rFonts w:ascii="Arial" w:cs="Arial" w:eastAsia="Arial" w:hAnsi="Arial"/>
          <w:sz w:val="17"/>
          <w:szCs w:val="17"/>
          <w:color w:val="auto"/>
        </w:rPr>
        <w:t>Check if Disclosure of Legal Proceedings Is Required Pursuant to Items 2(d) or 2(e)</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107950</wp:posOffset>
            </wp:positionV>
            <wp:extent cx="65862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91440</wp:posOffset>
            </wp:positionV>
            <wp:extent cx="65862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40" w:right="7960" w:hanging="506"/>
        <w:spacing w:after="0" w:line="277"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None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940" w:right="7780" w:hanging="506"/>
        <w:spacing w:after="0" w:line="277"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 3,321,383</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940" w:right="7620" w:hanging="506"/>
        <w:spacing w:after="0" w:line="277"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None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940" w:right="7440" w:hanging="506"/>
        <w:spacing w:after="0" w:line="277"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3,321,383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wp:posOffset>
            </wp:positionH>
            <wp:positionV relativeFrom="paragraph">
              <wp:posOffset>66040</wp:posOffset>
            </wp:positionV>
            <wp:extent cx="59944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-671195</wp:posOffset>
            </wp:positionV>
            <wp:extent cx="59944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-1408430</wp:posOffset>
            </wp:positionV>
            <wp:extent cx="59944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-2146300</wp:posOffset>
            </wp:positionV>
            <wp:extent cx="59944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40" w:space="160"/>
            <w:col w:w="10240"/>
          </w:cols>
          <w:pgMar w:left="240" w:top="598" w:right="319" w:bottom="112" w:gutter="0" w:footer="0" w:header="0"/>
        </w:sectPr>
      </w:pPr>
    </w:p>
    <w:p>
      <w:pPr>
        <w:spacing w:after="0" w:line="200" w:lineRule="exact"/>
        <w:rPr>
          <w:sz w:val="20"/>
          <w:szCs w:val="20"/>
          <w:color w:val="auto"/>
        </w:rPr>
      </w:pPr>
    </w:p>
    <w:p>
      <w:pPr>
        <w:spacing w:after="0" w:line="284" w:lineRule="exact"/>
        <w:rPr>
          <w:sz w:val="20"/>
          <w:szCs w:val="20"/>
          <w:color w:val="auto"/>
        </w:rPr>
      </w:pPr>
    </w:p>
    <w:p>
      <w:pPr>
        <w:ind w:left="1100" w:right="5440" w:hanging="646"/>
        <w:spacing w:after="0" w:line="277"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3,321,383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66040</wp:posOffset>
            </wp:positionV>
            <wp:extent cx="65862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(See Instructions)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100330</wp:posOffset>
            </wp:positionV>
            <wp:extent cx="65862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100" w:hanging="646"/>
        <w:spacing w:after="0"/>
        <w:tabs>
          <w:tab w:leader="none" w:pos="1100" w:val="left"/>
        </w:tabs>
        <w:numPr>
          <w:ilvl w:val="1"/>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5.57%*</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1100" w:hanging="646"/>
        <w:spacing w:after="0"/>
        <w:tabs>
          <w:tab w:leader="none" w:pos="11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spacing w:after="0" w:line="264" w:lineRule="auto"/>
        <w:rPr>
          <w:rFonts w:ascii="Arial" w:cs="Arial" w:eastAsia="Arial" w:hAnsi="Arial"/>
          <w:sz w:val="18"/>
          <w:szCs w:val="18"/>
          <w:color w:val="auto"/>
        </w:rPr>
      </w:pPr>
      <w:r>
        <w:rPr>
          <w:rFonts w:ascii="Arial" w:cs="Arial" w:eastAsia="Arial" w:hAnsi="Arial"/>
          <w:sz w:val="18"/>
          <w:szCs w:val="18"/>
          <w:color w:val="auto"/>
        </w:rPr>
        <w:t>* This calculation is based on 59,627,499 shares of Common Stock, par value $0.001 per share, outstanding as of February 5, 2016, as reported by the Issuer on its Quarterly Report on Form 10-Q for the fiscal quarter ended December 31, 2015, filed by the Issuer with the Securities and Exchange Commission on February 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-715645</wp:posOffset>
            </wp:positionV>
            <wp:extent cx="65862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-1452880</wp:posOffset>
            </wp:positionV>
            <wp:extent cx="65862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-501015</wp:posOffset>
            </wp:positionV>
            <wp:extent cx="18268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color w:val="auto"/>
        </w:rPr>
        <w:t>CUSIP No.  042797209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100" w:right="8180" w:hanging="646"/>
        <w:spacing w:after="0" w:line="277"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Names of Reporting Persons Novartis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66040</wp:posOffset>
            </wp:positionV>
            <wp:extent cx="65862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1340"/>
          </w:cols>
          <w:pgMar w:left="240" w:top="598" w:right="319" w:bottom="112" w:gutter="0" w:footer="0" w:header="0"/>
          <w:type w:val="continuous"/>
        </w:sectPr>
      </w:pPr>
    </w:p>
    <w:bookmarkStart w:id="2" w:name="page3"/>
    <w:bookmarkEnd w:id="2"/>
    <w:p>
      <w:pPr>
        <w:ind w:left="1100" w:hanging="646"/>
        <w:spacing w:after="0"/>
        <w:tabs>
          <w:tab w:leader="none" w:pos="11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288" w:lineRule="exact"/>
        <w:rPr>
          <w:rFonts w:ascii="Arial" w:cs="Arial" w:eastAsia="Arial" w:hAnsi="Arial"/>
          <w:sz w:val="16"/>
          <w:szCs w:val="16"/>
          <w:color w:val="auto"/>
        </w:rPr>
      </w:pPr>
    </w:p>
    <w:p>
      <w:pPr>
        <w:ind w:left="2160" w:hanging="1058"/>
        <w:spacing w:after="0"/>
        <w:tabs>
          <w:tab w:leader="none" w:pos="2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o</w:t>
      </w:r>
    </w:p>
    <w:p>
      <w:pPr>
        <w:spacing w:after="0" w:line="198" w:lineRule="exact"/>
        <w:rPr>
          <w:rFonts w:ascii="Arial" w:cs="Arial" w:eastAsia="Arial" w:hAnsi="Arial"/>
          <w:sz w:val="18"/>
          <w:szCs w:val="18"/>
          <w:color w:val="auto"/>
        </w:rPr>
      </w:pPr>
    </w:p>
    <w:p>
      <w:pPr>
        <w:ind w:left="2160" w:hanging="1058"/>
        <w:spacing w:after="0"/>
        <w:tabs>
          <w:tab w:leader="none" w:pos="2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48895</wp:posOffset>
            </wp:positionV>
            <wp:extent cx="59429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-207645</wp:posOffset>
            </wp:positionV>
            <wp:extent cx="59429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42965" cy="8890"/>
                    </a:xfrm>
                    <a:prstGeom prst="rect">
                      <a:avLst/>
                    </a:prstGeom>
                    <a:noFill/>
                  </pic:spPr>
                </pic:pic>
              </a:graphicData>
            </a:graphic>
          </wp:anchor>
        </w:drawing>
      </w:r>
    </w:p>
    <w:p>
      <w:pPr>
        <w:sectPr>
          <w:pgSz w:w="11900" w:h="16838" w:orient="portrait"/>
          <w:cols w:equalWidth="0" w:num="1">
            <w:col w:w="11300"/>
          </w:cols>
          <w:pgMar w:left="240" w:top="274" w:right="359" w:bottom="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100330</wp:posOffset>
            </wp:positionV>
            <wp:extent cx="65862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Source of Funds (See Instructions)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91440</wp:posOffset>
            </wp:positionV>
            <wp:extent cx="65862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tabs>
          <w:tab w:leader="none" w:pos="6280" w:val="left"/>
        </w:tabs>
        <w:rPr>
          <w:sz w:val="20"/>
          <w:szCs w:val="20"/>
          <w:color w:val="auto"/>
        </w:rPr>
      </w:pPr>
      <w:r>
        <w:rPr>
          <w:rFonts w:ascii="Arial" w:cs="Arial" w:eastAsia="Arial" w:hAnsi="Arial"/>
          <w:sz w:val="17"/>
          <w:szCs w:val="17"/>
          <w:color w:val="auto"/>
        </w:rPr>
        <w:t>Check if Disclosure of Legal Proceedings Is Required Pursuant to Items 2(d) or 2(e)</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107950</wp:posOffset>
            </wp:positionV>
            <wp:extent cx="65862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91440</wp:posOffset>
            </wp:positionV>
            <wp:extent cx="65862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40" w:right="7920" w:hanging="506"/>
        <w:spacing w:after="0" w:line="277" w:lineRule="auto"/>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Voting Power None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940" w:right="7740" w:hanging="506"/>
        <w:spacing w:after="0" w:line="277" w:lineRule="auto"/>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Voting Power 3,321,383</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940" w:right="7580" w:hanging="506"/>
        <w:spacing w:after="0" w:line="277" w:lineRule="auto"/>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Dispositive Power None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940" w:right="7400" w:hanging="506"/>
        <w:spacing w:after="0" w:line="277" w:lineRule="auto"/>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Dispositive Power 3,321,383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wp:posOffset>
            </wp:positionH>
            <wp:positionV relativeFrom="paragraph">
              <wp:posOffset>66040</wp:posOffset>
            </wp:positionV>
            <wp:extent cx="59944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-671195</wp:posOffset>
            </wp:positionV>
            <wp:extent cx="59944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-1408430</wp:posOffset>
            </wp:positionV>
            <wp:extent cx="59944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-2146300</wp:posOffset>
            </wp:positionV>
            <wp:extent cx="59944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40" w:space="160"/>
            <w:col w:w="10200"/>
          </w:cols>
          <w:pgMar w:left="240" w:top="274" w:right="359" w:bottom="44"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ind w:left="1100" w:right="5400" w:hanging="646"/>
        <w:spacing w:after="0" w:line="277" w:lineRule="auto"/>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3,321,383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66040</wp:posOffset>
            </wp:positionV>
            <wp:extent cx="65862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(See Instructions)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100330</wp:posOffset>
            </wp:positionV>
            <wp:extent cx="65862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100" w:hanging="646"/>
        <w:spacing w:after="0"/>
        <w:tabs>
          <w:tab w:leader="none" w:pos="11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5.57%*</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1100" w:hanging="646"/>
        <w:spacing w:after="0"/>
        <w:tabs>
          <w:tab w:leader="none" w:pos="11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spacing w:after="0" w:line="264" w:lineRule="auto"/>
        <w:rPr>
          <w:rFonts w:ascii="Arial" w:cs="Arial" w:eastAsia="Arial" w:hAnsi="Arial"/>
          <w:sz w:val="18"/>
          <w:szCs w:val="18"/>
          <w:color w:val="auto"/>
        </w:rPr>
      </w:pPr>
      <w:r>
        <w:rPr>
          <w:rFonts w:ascii="Arial" w:cs="Arial" w:eastAsia="Arial" w:hAnsi="Arial"/>
          <w:sz w:val="18"/>
          <w:szCs w:val="18"/>
          <w:color w:val="auto"/>
        </w:rPr>
        <w:t>* This calculation is based on 59,627,499 shares of Common Stock, par value $0.001 per share, outstanding as of February 5, 2016, as reported by the Issuer on its Quarterly Report on Form 10-Q for the fiscal quarter ended December 31, 2015, filed by the Issuer with the Securities and Exchange Commission on February 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-715645</wp:posOffset>
            </wp:positionV>
            <wp:extent cx="65862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-1452880</wp:posOffset>
            </wp:positionV>
            <wp:extent cx="65862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-501015</wp:posOffset>
            </wp:positionV>
            <wp:extent cx="18268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00"/>
          </w:cols>
          <w:pgMar w:left="240" w:top="274" w:right="359" w:bottom="44" w:gutter="0" w:footer="0" w:header="0"/>
          <w:type w:val="continuous"/>
        </w:sectPr>
      </w:pP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274" w:right="359" w:bottom="44"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ind w:right="600" w:firstLine="648"/>
        <w:spacing w:after="0" w:line="264" w:lineRule="auto"/>
        <w:rPr>
          <w:sz w:val="20"/>
          <w:szCs w:val="20"/>
          <w:color w:val="auto"/>
        </w:rPr>
      </w:pPr>
      <w:r>
        <w:rPr>
          <w:rFonts w:ascii="Arial" w:cs="Arial" w:eastAsia="Arial" w:hAnsi="Arial"/>
          <w:sz w:val="18"/>
          <w:szCs w:val="18"/>
          <w:color w:val="auto"/>
        </w:rPr>
        <w:t>This Statement on Schedule 13D relates to the common stock, par value $0.001 per share (the “Common Stock”) of Arrowhead Research Corporation, a Delaware corporation (the “Issuer”). The Issuer’s principal executive offices are located at 225 S. Lake Avenue, Suite 1050, Pasadena, California 91101.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Security and Issuer</w:t>
      </w:r>
    </w:p>
    <w:p>
      <w:pPr>
        <w:spacing w:after="0" w:line="229" w:lineRule="exact"/>
        <w:rPr>
          <w:sz w:val="20"/>
          <w:szCs w:val="20"/>
          <w:color w:val="auto"/>
        </w:rPr>
      </w:pPr>
    </w:p>
    <w:p>
      <w:pPr>
        <w:ind w:right="420" w:firstLine="656"/>
        <w:spacing w:after="0" w:line="277" w:lineRule="auto"/>
        <w:tabs>
          <w:tab w:leader="none" w:pos="89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Schedule 13D is being filed by Novartis Institutes for BioMedical Research, Inc. (“NIBRI”) and Novartis AG (“Novartis”). NIBRI and Novartis are hereinafter collectively referred to as the “Reporting Persons.”</w:t>
      </w:r>
    </w:p>
    <w:p>
      <w:pPr>
        <w:spacing w:after="0" w:line="170" w:lineRule="exact"/>
        <w:rPr>
          <w:rFonts w:ascii="Arial" w:cs="Arial" w:eastAsia="Arial" w:hAnsi="Arial"/>
          <w:sz w:val="18"/>
          <w:szCs w:val="18"/>
          <w:color w:val="auto"/>
        </w:rPr>
      </w:pPr>
    </w:p>
    <w:p>
      <w:pPr>
        <w:ind w:right="300" w:firstLine="65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principal business address of NIBRI is 250 Massachusetts Avenue, Cambridge, MA 02139. The principal business address of Novartis is Lichtstrasse 35, CH-4056 Basel, Switzerland.</w:t>
      </w:r>
    </w:p>
    <w:p>
      <w:pPr>
        <w:spacing w:after="0" w:line="170" w:lineRule="exact"/>
        <w:rPr>
          <w:rFonts w:ascii="Arial" w:cs="Arial" w:eastAsia="Arial" w:hAnsi="Arial"/>
          <w:sz w:val="18"/>
          <w:szCs w:val="18"/>
          <w:color w:val="auto"/>
        </w:rPr>
      </w:pPr>
    </w:p>
    <w:p>
      <w:pPr>
        <w:ind w:right="600" w:firstLine="656"/>
        <w:spacing w:after="0" w:line="277" w:lineRule="auto"/>
        <w:tabs>
          <w:tab w:leader="none" w:pos="893" w:val="left"/>
        </w:tabs>
        <w:numPr>
          <w:ilvl w:val="0"/>
          <w:numId w:val="12"/>
        </w:numPr>
        <w:rPr>
          <w:rFonts w:ascii="Arial" w:cs="Arial" w:eastAsia="Arial" w:hAnsi="Arial"/>
          <w:sz w:val="18"/>
          <w:szCs w:val="18"/>
          <w:color w:val="auto"/>
        </w:rPr>
      </w:pPr>
      <w:r>
        <w:rPr>
          <w:rFonts w:ascii="Arial" w:cs="Arial" w:eastAsia="Arial" w:hAnsi="Arial"/>
          <w:sz w:val="18"/>
          <w:szCs w:val="18"/>
          <w:color w:val="auto"/>
        </w:rPr>
        <w:t>NIBRI is a company organized under the laws of the State of Delaware and is a wholly-owned indirect subsidiary of Novartis. NIBRI is a research organization that works to discover innovative medicines that treat disease and improve human health.</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Novartis is a corporation organized under the laws of Switzerland and is the publicly owned parent of a multinational group of companies specializing in the research, development, manufacturing and marketing of a broad range of healthcare products, led by innovative pharmaceuticals. Novartis is the 100% indirect owner of NIBRI.</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(d)-(e) Neither the Reporting Persons nor, to the best knowledge of each of them, any of the executive officers and members of the Board of Directors of each of the Reporting Persons set forth on Schedule I hereto, during the last five years, (i) has been convicted in a criminal proceeding (excluding traffic violations or similar misdemeanors) or (ii)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8" w:lineRule="exact"/>
        <w:rPr>
          <w:sz w:val="20"/>
          <w:szCs w:val="20"/>
          <w:color w:val="auto"/>
        </w:rPr>
      </w:pPr>
    </w:p>
    <w:p>
      <w:pPr>
        <w:ind w:right="200" w:firstLine="656"/>
        <w:spacing w:after="0" w:line="277" w:lineRule="auto"/>
        <w:tabs>
          <w:tab w:leader="none" w:pos="87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name, business address, present principal occupation or employment and citizenship of the executive officers and members of the Board of Directors of each of the Reporting Persons is set forth on Schedule I hereto and is herein incorporated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ind w:right="680" w:firstLine="648"/>
        <w:spacing w:after="0" w:line="342" w:lineRule="auto"/>
        <w:rPr>
          <w:sz w:val="20"/>
          <w:szCs w:val="20"/>
          <w:color w:val="auto"/>
        </w:rPr>
      </w:pPr>
      <w:r>
        <w:rPr>
          <w:rFonts w:ascii="Arial" w:cs="Arial" w:eastAsia="Arial" w:hAnsi="Arial"/>
          <w:sz w:val="16"/>
          <w:szCs w:val="16"/>
          <w:color w:val="auto"/>
        </w:rPr>
        <w:t>NIBRI directly owns 3,321,383 shares of Common Stock. Reference is made to the Agreement (as defined in Item 6 below). The shares of Common Stock were acquired in exchange for RNAi assets and rights (as described in Item 6 below) pursuant to the terms of the Agreement.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contained in Item 3 above is herein incorporated by reference.</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All shares of Common Stock reported acquired by the Reporting Persons in this Schedule 13D were acquired for the purpose of investment and were not intended to and did not effect any change in the control of the Issuer.</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Reporting Persons from time to time intend to review their investment in the Issuer on the basis of various factors, including the Issuer’s business, financial condition, results of operations and prospects, general economic and industry conditions, the securities markets in general and those for the Issuer’s shares of Common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Stock in particular, as well as other developments and other investment opportunities. Based upon such review, the Reporting Persons will take such actions in the future as the Reporting Persons may deem appropriate in light of the circumstances existing from time to time. If the Reporting Persons believe that further investment in the Issuer is attractive, whether because of the market price of the Common Stock or otherwise, they may acquire shares of Common Stock or other securities of the Issuer either in the open market or in privately negotiated transactions. Similarly, depending on market and other factors, the Reporting Persons may determine to dispose of some or all of the shares of Common Stock currently owned by the Reporting Persons or otherwise acquired by the Reporting Persons either in the open market or in privately negotiated transactions.</w:t>
      </w:r>
    </w:p>
    <w:p>
      <w:pPr>
        <w:spacing w:after="0" w:line="17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Except as described above, none of the Reporting Persons currently has any plan or proposal that relates to or would result in any of the actions specified in clauses (a) through (j) of Item 4 of Schedule 13D.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ind w:firstLine="656"/>
        <w:spacing w:after="0" w:line="264" w:lineRule="auto"/>
        <w:tabs>
          <w:tab w:leader="none" w:pos="883"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of the date hereof, the Reporting Persons may be deemed, for purposes of Rule 13d-3 of the Act, directly or indirectly, including by reason of their mutual affiliation, to be the beneficial owners of the shares of Common Stock described in Item 3 above. NIBRI is a wholly-owned indirect subsidiary of Novartis.</w:t>
      </w:r>
    </w:p>
    <w:p>
      <w:pPr>
        <w:spacing w:after="0" w:line="181"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Based on the 59,627,499 shares of the Issuer’s common stock outstanding as of February 5, 2016 according to the Issuer’s Quarterly Report on Form 10-Q for the fiscal quarter ended December 31, 2015, filed by the Issuer with the Securities and Exchange Commission (the “Commission”) on February 9, 2016, the Common Stock held by the Reporting Persons constituted 5.57% of the outstanding shares of Common Stock of the Issuer as of that date.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Novartis, as the parent company of NIBRI</w:t>
      </w:r>
      <w:r>
        <w:rPr>
          <w:rFonts w:ascii="Arial" w:cs="Arial" w:eastAsia="Arial" w:hAnsi="Arial"/>
          <w:sz w:val="17"/>
          <w:szCs w:val="17"/>
          <w:color w:val="auto"/>
        </w:rPr>
        <w:t>, may be deemed to beneficially own all of the shares of Common Stock held directly by NIBRI.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With respect to the number of shares of Common Stock as to which each Reporting Person has:</w:t>
      </w:r>
    </w:p>
    <w:p>
      <w:pPr>
        <w:sectPr>
          <w:pgSz w:w="11900" w:h="16838" w:orient="portrait"/>
          <w:cols w:equalWidth="0" w:num="1">
            <w:col w:w="11420"/>
          </w:cols>
          <w:pgMar w:left="240" w:top="580" w:right="239" w:bottom="0" w:gutter="0" w:footer="0" w:header="0"/>
        </w:sectPr>
      </w:pPr>
    </w:p>
    <w:bookmarkStart w:id="4" w:name="page5"/>
    <w:bookmarkEnd w:id="4"/>
    <w:p>
      <w:pPr>
        <w:ind w:left="1300" w:right="260" w:firstLine="5"/>
        <w:spacing w:after="0" w:line="277" w:lineRule="auto"/>
        <w:tabs>
          <w:tab w:leader="none" w:pos="15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sole power to vote or to direct the vote with respect to such shares of Common Stock, please see row 7 of the applicable cover sheet to this Schedule 13D for such Reporting Person;</w:t>
      </w:r>
    </w:p>
    <w:p>
      <w:pPr>
        <w:spacing w:after="0" w:line="170" w:lineRule="exact"/>
        <w:rPr>
          <w:rFonts w:ascii="Arial" w:cs="Arial" w:eastAsia="Arial" w:hAnsi="Arial"/>
          <w:sz w:val="18"/>
          <w:szCs w:val="18"/>
          <w:color w:val="auto"/>
        </w:rPr>
      </w:pPr>
    </w:p>
    <w:p>
      <w:pPr>
        <w:ind w:left="1300" w:right="220" w:firstLine="5"/>
        <w:spacing w:after="0" w:line="277" w:lineRule="auto"/>
        <w:tabs>
          <w:tab w:leader="none" w:pos="156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shared power to vote or to direct the vote with respect to such shares of Common Stock, please see row 8 of the applicable cover sheet to this Schedule 13D for such Reporting Person;</w:t>
      </w:r>
    </w:p>
    <w:p>
      <w:pPr>
        <w:spacing w:after="0" w:line="170" w:lineRule="exact"/>
        <w:rPr>
          <w:rFonts w:ascii="Arial" w:cs="Arial" w:eastAsia="Arial" w:hAnsi="Arial"/>
          <w:sz w:val="18"/>
          <w:szCs w:val="18"/>
          <w:color w:val="auto"/>
        </w:rPr>
      </w:pPr>
    </w:p>
    <w:p>
      <w:pPr>
        <w:ind w:left="1300" w:right="240" w:firstLine="5"/>
        <w:spacing w:after="0" w:line="277" w:lineRule="auto"/>
        <w:tabs>
          <w:tab w:leader="none" w:pos="16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sole power to dispose or direct the disposition of such shares of Common Stock, please see row 9 of the applicable cover sheet to this Schedule 13D for such Reporting Person; and</w:t>
      </w:r>
    </w:p>
    <w:p>
      <w:pPr>
        <w:spacing w:after="0" w:line="170" w:lineRule="exact"/>
        <w:rPr>
          <w:rFonts w:ascii="Arial" w:cs="Arial" w:eastAsia="Arial" w:hAnsi="Arial"/>
          <w:sz w:val="18"/>
          <w:szCs w:val="18"/>
          <w:color w:val="auto"/>
        </w:rPr>
      </w:pPr>
    </w:p>
    <w:p>
      <w:pPr>
        <w:ind w:left="1300" w:right="100" w:firstLine="5"/>
        <w:spacing w:after="0" w:line="277" w:lineRule="auto"/>
        <w:tabs>
          <w:tab w:leader="none" w:pos="16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such shares of Common Stock, please see row 10 of the applicable cover sheet to this Schedule 13D for such Reporting Person.</w:t>
      </w:r>
    </w:p>
    <w:p>
      <w:pPr>
        <w:spacing w:after="0" w:line="170"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Dr. Michael Perry, Chief Scientific Officer of the Cell &amp; Gene Therapies franchise of Novartis Pharmaceuticals Division, a division of Novartis, has been a member of the Issuer’s board of directors since December 2011. As a director of the Issuer, Dr. Perry has received, and is eligible to receive in the future, equity compensation awards from the Issuer, including stock options and restricted stock units. Dr. Perry is not an executive officer or director of the Reporting Persons, and neither Reporting Person has voting or dispositive power over shares of Common Stock beneficially owned by Dr. Perry. The Reporting Persons expressly disclaim beneficial ownership of the shares of Common Stock beneficially owned by Dr. Perry.</w:t>
      </w:r>
    </w:p>
    <w:p>
      <w:pPr>
        <w:spacing w:after="0" w:line="173" w:lineRule="exact"/>
        <w:rPr>
          <w:sz w:val="20"/>
          <w:szCs w:val="20"/>
          <w:color w:val="auto"/>
        </w:rPr>
      </w:pPr>
    </w:p>
    <w:p>
      <w:pPr>
        <w:ind w:left="900" w:hanging="244"/>
        <w:spacing w:after="0"/>
        <w:tabs>
          <w:tab w:leader="none" w:pos="9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The information contained in Items 3 and 4 to this Schedule 13D is herein incorporated by reference. None of (i) the Reporting Persons and</w:t>
      </w:r>
    </w:p>
    <w:p>
      <w:pPr>
        <w:spacing w:after="0" w:line="34" w:lineRule="exact"/>
        <w:rPr>
          <w:rFonts w:ascii="Arial" w:cs="Arial" w:eastAsia="Arial" w:hAnsi="Arial"/>
          <w:sz w:val="17"/>
          <w:szCs w:val="17"/>
          <w:color w:val="auto"/>
        </w:rPr>
      </w:pPr>
    </w:p>
    <w:p>
      <w:pPr>
        <w:ind w:right="60" w:firstLine="8"/>
        <w:spacing w:after="0" w:line="261" w:lineRule="auto"/>
        <w:tabs>
          <w:tab w:leader="none" w:pos="26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the Reporting Persons’ knowledge, the persons set forth on Schedule I of this Schedule 13D, has effected any transaction in the Issuer’s Common Stock during the past 60 days.</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As previously disclosed in the Issuer’s Current Report on Form 8-K filed with the Commission on March 3, 2015, the Issuer entered into an Asset Purchase and Exclusive License Agreement (the “Agreement”) with NIBRI, pursuant to which the Issuer acquired NIBRI’s RNAi assets and rights thereunder. Pursuant to the Agreement, the Issuer acquired or licensed certain patents and patent applications owned or controlled by NIBRI related to RNAi therapeutics, third party licenses and intellectual property, rights to three pre-clinical RNAi candidates, and other related assets (collectively, the “Purchased Assets”). The acquisition of the Purchased Assets closed on March 4, 2015, concurrent with execution of the Agreement (the “Closing”).</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consideration for the Purchased Assets, the Issuer agreed to make certain payments to NIBRI, including: (a) a cash payment of $10,000,000;</w:t>
      </w:r>
    </w:p>
    <w:p>
      <w:pPr>
        <w:spacing w:after="0" w:line="35" w:lineRule="exact"/>
        <w:rPr>
          <w:sz w:val="20"/>
          <w:szCs w:val="20"/>
          <w:color w:val="auto"/>
        </w:rPr>
      </w:pPr>
    </w:p>
    <w:p>
      <w:pPr>
        <w:jc w:val="both"/>
        <w:ind w:right="60" w:firstLine="8"/>
        <w:spacing w:after="0" w:line="254" w:lineRule="auto"/>
        <w:tabs>
          <w:tab w:leader="none" w:pos="2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$25,000,000 in shares of the Company’s Common Stock, $10,000,000 of which was provided at Closing and $15,000,000 of which was provided in three installments of 1,337,256 shares on March 4, 2015, 1,962,067 shares on March 12, 2015, and 22,060 shares on March 17, 2015; (c) escalating royalties based upon annual net sales thresholds for certain RNAi products sold by the Issuer; and (d) milestone payments tied to the achievement of certain development and sales milestones for each target being developed by the Issuer.</w:t>
      </w:r>
    </w:p>
    <w:p>
      <w:pPr>
        <w:spacing w:after="0" w:line="19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3,321,383 shares of the Company’s Common Stock NIBRI received were acquired in private placement transactions that were exempt from registration under Section 4(a)(2) of the Securities Act of 1933, as amended.</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above summary of the Agreement is qualified by reference to such description and the full text of the Agreement, which is filed as an exhibit to this Schedule 13D and herein incorporated by reference.</w:t>
      </w:r>
    </w:p>
    <w:p>
      <w:pPr>
        <w:spacing w:after="0" w:line="170"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Except as disclosed herein, there are no contracts, arrangements, understandings or relationships (legal or otherwise) among the Reporting Persons and any other person with respect to any securities of the Issuer, including but not limited to transfer or voting of any of the securities, finder’s fees, joint ventures, loan or option arrangements, puts or calls, guarantees of profits, division of profits or loss, or the giving or withholding of proxies.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9920" w:type="dxa"/>
            <w:vAlign w:val="bottom"/>
            <w:tcBorders>
              <w:bottom w:val="single" w:sz="8" w:color="auto"/>
            </w:tcBorders>
          </w:tcPr>
          <w:p>
            <w:pPr>
              <w:ind w:left="4520"/>
              <w:spacing w:after="0"/>
              <w:rPr>
                <w:sz w:val="20"/>
                <w:szCs w:val="20"/>
                <w:color w:val="auto"/>
              </w:rPr>
            </w:pPr>
            <w:r>
              <w:rPr>
                <w:rFonts w:ascii="Arial" w:cs="Arial" w:eastAsia="Arial" w:hAnsi="Arial"/>
                <w:sz w:val="14"/>
                <w:szCs w:val="14"/>
                <w:b w:val="1"/>
                <w:bCs w:val="1"/>
                <w:color w:val="auto"/>
              </w:rPr>
              <w:t>DOCUMENT</w:t>
            </w:r>
          </w:p>
        </w:tc>
        <w:tc>
          <w:tcPr>
            <w:tcW w:w="40" w:type="dxa"/>
            <w:vAlign w:val="bottom"/>
          </w:tcPr>
          <w:p>
            <w:pPr>
              <w:spacing w:after="0"/>
              <w:rPr>
                <w:sz w:val="14"/>
                <w:szCs w:val="14"/>
                <w:color w:val="auto"/>
              </w:rPr>
            </w:pP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Joint Filing Agreement dated February 12, 2016 among the Reporting Persons.</w:t>
            </w:r>
          </w:p>
        </w:tc>
        <w:tc>
          <w:tcPr>
            <w:tcW w:w="40" w:type="dxa"/>
            <w:vAlign w:val="bottom"/>
          </w:tcPr>
          <w:p>
            <w:pPr>
              <w:spacing w:after="0"/>
              <w:rPr>
                <w:sz w:val="24"/>
                <w:szCs w:val="24"/>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2</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4"/>
              </w:rPr>
              <w:t>Asset Purchase and Exclusive License Agreement between Arrowhead Research Corporation and Novartis Institutes for Biomedical</w:t>
            </w:r>
          </w:p>
        </w:tc>
        <w:tc>
          <w:tcPr>
            <w:tcW w:w="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4"/>
              </w:rPr>
              <w:t>Research, Inc., dated March 3, 2015 (incorporated by reference to Exhibit 2.1 to the Issuer’s Quarterly Report on Form 10-Q for the</w:t>
            </w:r>
          </w:p>
        </w:tc>
        <w:tc>
          <w:tcPr>
            <w:tcW w:w="4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fiscal quarter ended March 31, 2015, as filed with the Securities and Exchange Commission on May 11, 2015).</w:t>
            </w:r>
          </w:p>
        </w:tc>
        <w:tc>
          <w:tcPr>
            <w:tcW w:w="40" w:type="dxa"/>
            <w:vAlign w:val="bottom"/>
          </w:tcPr>
          <w:p>
            <w:pPr>
              <w:spacing w:after="0"/>
              <w:rPr>
                <w:sz w:val="20"/>
                <w:szCs w:val="20"/>
                <w:color w:val="auto"/>
              </w:rPr>
            </w:pPr>
          </w:p>
        </w:tc>
      </w:tr>
      <w:tr>
        <w:trPr>
          <w:trHeight w:val="432"/>
        </w:trPr>
        <w:tc>
          <w:tcPr>
            <w:tcW w:w="1160" w:type="dxa"/>
            <w:vAlign w:val="bottom"/>
          </w:tcPr>
          <w:p>
            <w:pPr>
              <w:spacing w:after="0"/>
              <w:rPr>
                <w:sz w:val="24"/>
                <w:szCs w:val="24"/>
                <w:color w:val="auto"/>
              </w:rPr>
            </w:pPr>
          </w:p>
        </w:tc>
        <w:tc>
          <w:tcPr>
            <w:tcW w:w="10260" w:type="dxa"/>
            <w:vAlign w:val="bottom"/>
            <w:gridSpan w:val="2"/>
          </w:tcPr>
          <w:p>
            <w:pPr>
              <w:ind w:left="450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Pursuant to Rule 13d-1(k)(1)(iii) of Regulation 13D-G of the General Rules and Regulations of the Securities Exchange Act of 1934, as amended, the undersigned agree that the attached statement is filed on behalf of each of them.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2016</w:t>
      </w:r>
    </w:p>
    <w:p>
      <w:pPr>
        <w:sectPr>
          <w:pgSz w:w="11900" w:h="16838" w:orient="portrait"/>
          <w:cols w:equalWidth="0" w:num="1">
            <w:col w:w="11460"/>
          </w:cols>
          <w:pgMar w:left="240" w:top="341" w:right="199" w:bottom="0" w:gutter="0" w:footer="0" w:header="0"/>
        </w:sectPr>
      </w:pPr>
    </w:p>
    <w:bookmarkStart w:id="5" w:name="page6"/>
    <w:bookmarkEnd w:id="5"/>
    <w:p>
      <w:pPr>
        <w:spacing w:after="0" w:line="6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NOVARTIS INSTITUTES FOR BIOMEDICAL RESEARCH, INC.</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tcPr>
          <w:p>
            <w:pPr>
              <w:ind w:left="572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Scott Brown</w:t>
            </w:r>
          </w:p>
        </w:tc>
        <w:tc>
          <w:tcPr>
            <w:tcW w:w="40" w:type="dxa"/>
            <w:vAlign w:val="bottom"/>
          </w:tcPr>
          <w:p>
            <w:pPr>
              <w:spacing w:after="0"/>
              <w:rPr>
                <w:sz w:val="20"/>
                <w:szCs w:val="20"/>
                <w:color w:val="auto"/>
              </w:rPr>
            </w:pPr>
          </w:p>
        </w:tc>
      </w:tr>
      <w:tr>
        <w:trPr>
          <w:trHeight w:val="195"/>
        </w:trPr>
        <w:tc>
          <w:tcPr>
            <w:tcW w:w="618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Pr>
          <w:p>
            <w:pPr>
              <w:ind w:left="120"/>
              <w:spacing w:after="0" w:line="195" w:lineRule="exact"/>
              <w:rPr>
                <w:sz w:val="20"/>
                <w:szCs w:val="20"/>
                <w:color w:val="auto"/>
              </w:rPr>
            </w:pPr>
            <w:r>
              <w:rPr>
                <w:rFonts w:ascii="Arial" w:cs="Arial" w:eastAsia="Arial" w:hAnsi="Arial"/>
                <w:sz w:val="18"/>
                <w:szCs w:val="18"/>
                <w:color w:val="auto"/>
              </w:rPr>
              <w:t>Scott Brown</w:t>
            </w:r>
          </w:p>
        </w:tc>
        <w:tc>
          <w:tcPr>
            <w:tcW w:w="40" w:type="dxa"/>
            <w:vAlign w:val="bottom"/>
          </w:tcPr>
          <w:p>
            <w:pPr>
              <w:spacing w:after="0"/>
              <w:rPr>
                <w:sz w:val="16"/>
                <w:szCs w:val="16"/>
                <w:color w:val="auto"/>
              </w:rPr>
            </w:pPr>
          </w:p>
        </w:tc>
      </w:tr>
      <w:tr>
        <w:trPr>
          <w:trHeight w:val="230"/>
        </w:trPr>
        <w:tc>
          <w:tcPr>
            <w:tcW w:w="61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20"/>
              <w:spacing w:after="0"/>
              <w:rPr>
                <w:sz w:val="20"/>
                <w:szCs w:val="20"/>
                <w:color w:val="auto"/>
              </w:rPr>
            </w:pPr>
            <w:r>
              <w:rPr>
                <w:rFonts w:ascii="Arial" w:cs="Arial" w:eastAsia="Arial" w:hAnsi="Arial"/>
                <w:sz w:val="18"/>
                <w:szCs w:val="18"/>
                <w:color w:val="auto"/>
              </w:rPr>
              <w:t>Vice President and General Counsel</w:t>
            </w:r>
          </w:p>
        </w:tc>
        <w:tc>
          <w:tcPr>
            <w:tcW w:w="40" w:type="dxa"/>
            <w:vAlign w:val="bottom"/>
          </w:tcPr>
          <w:p>
            <w:pPr>
              <w:spacing w:after="0"/>
              <w:rPr>
                <w:sz w:val="20"/>
                <w:szCs w:val="20"/>
                <w:color w:val="auto"/>
              </w:rPr>
            </w:pPr>
          </w:p>
        </w:tc>
      </w:tr>
      <w:tr>
        <w:trPr>
          <w:trHeight w:val="648"/>
        </w:trPr>
        <w:tc>
          <w:tcPr>
            <w:tcW w:w="11420" w:type="dxa"/>
            <w:vAlign w:val="bottom"/>
            <w:gridSpan w:val="3"/>
          </w:tcPr>
          <w:p>
            <w:pPr>
              <w:ind w:left="5720"/>
              <w:spacing w:after="0"/>
              <w:rPr>
                <w:sz w:val="20"/>
                <w:szCs w:val="20"/>
                <w:color w:val="auto"/>
              </w:rPr>
            </w:pPr>
            <w:r>
              <w:rPr>
                <w:rFonts w:ascii="Arial" w:cs="Arial" w:eastAsia="Arial" w:hAnsi="Arial"/>
                <w:sz w:val="18"/>
                <w:szCs w:val="18"/>
                <w:b w:val="1"/>
                <w:bCs w:val="1"/>
                <w:color w:val="auto"/>
              </w:rPr>
              <w:t>NOVARTIS AG</w:t>
            </w:r>
          </w:p>
        </w:tc>
        <w:tc>
          <w:tcPr>
            <w:tcW w:w="40" w:type="dxa"/>
            <w:vAlign w:val="bottom"/>
          </w:tcPr>
          <w:p>
            <w:pPr>
              <w:spacing w:after="0"/>
              <w:rPr>
                <w:sz w:val="24"/>
                <w:szCs w:val="24"/>
                <w:color w:val="auto"/>
              </w:rPr>
            </w:pPr>
          </w:p>
        </w:tc>
      </w:tr>
      <w:tr>
        <w:trPr>
          <w:trHeight w:val="648"/>
        </w:trPr>
        <w:tc>
          <w:tcPr>
            <w:tcW w:w="6180" w:type="dxa"/>
            <w:vAlign w:val="bottom"/>
          </w:tcPr>
          <w:p>
            <w:pPr>
              <w:ind w:left="572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Christian Rehm</w:t>
            </w:r>
          </w:p>
        </w:tc>
        <w:tc>
          <w:tcPr>
            <w:tcW w:w="40" w:type="dxa"/>
            <w:vAlign w:val="bottom"/>
          </w:tcPr>
          <w:p>
            <w:pPr>
              <w:spacing w:after="0"/>
              <w:rPr>
                <w:sz w:val="24"/>
                <w:szCs w:val="24"/>
                <w:color w:val="auto"/>
              </w:rPr>
            </w:pPr>
          </w:p>
        </w:tc>
      </w:tr>
      <w:tr>
        <w:trPr>
          <w:trHeight w:val="195"/>
        </w:trPr>
        <w:tc>
          <w:tcPr>
            <w:tcW w:w="618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Pr>
          <w:p>
            <w:pPr>
              <w:ind w:left="120"/>
              <w:spacing w:after="0" w:line="195" w:lineRule="exact"/>
              <w:rPr>
                <w:sz w:val="20"/>
                <w:szCs w:val="20"/>
                <w:color w:val="auto"/>
              </w:rPr>
            </w:pPr>
            <w:r>
              <w:rPr>
                <w:rFonts w:ascii="Arial" w:cs="Arial" w:eastAsia="Arial" w:hAnsi="Arial"/>
                <w:sz w:val="18"/>
                <w:szCs w:val="18"/>
                <w:color w:val="auto"/>
              </w:rPr>
              <w:t>Christian Rehm</w:t>
            </w:r>
          </w:p>
        </w:tc>
        <w:tc>
          <w:tcPr>
            <w:tcW w:w="40" w:type="dxa"/>
            <w:vAlign w:val="bottom"/>
          </w:tcPr>
          <w:p>
            <w:pPr>
              <w:spacing w:after="0"/>
              <w:rPr>
                <w:sz w:val="16"/>
                <w:szCs w:val="16"/>
                <w:color w:val="auto"/>
              </w:rPr>
            </w:pPr>
          </w:p>
        </w:tc>
      </w:tr>
      <w:tr>
        <w:trPr>
          <w:trHeight w:val="230"/>
        </w:trPr>
        <w:tc>
          <w:tcPr>
            <w:tcW w:w="61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20"/>
              <w:spacing w:after="0"/>
              <w:rPr>
                <w:sz w:val="20"/>
                <w:szCs w:val="20"/>
                <w:color w:val="auto"/>
              </w:rPr>
            </w:pPr>
            <w:r>
              <w:rPr>
                <w:rFonts w:ascii="Arial" w:cs="Arial" w:eastAsia="Arial" w:hAnsi="Arial"/>
                <w:sz w:val="18"/>
                <w:szCs w:val="18"/>
                <w:color w:val="auto"/>
              </w:rPr>
              <w:t>Authorized Signatory</w:t>
            </w:r>
          </w:p>
        </w:tc>
        <w:tc>
          <w:tcPr>
            <w:tcW w:w="40" w:type="dxa"/>
            <w:vAlign w:val="bottom"/>
          </w:tcPr>
          <w:p>
            <w:pPr>
              <w:spacing w:after="0"/>
              <w:rPr>
                <w:sz w:val="20"/>
                <w:szCs w:val="20"/>
                <w:color w:val="auto"/>
              </w:rPr>
            </w:pPr>
          </w:p>
        </w:tc>
      </w:tr>
      <w:tr>
        <w:trPr>
          <w:trHeight w:val="432"/>
        </w:trPr>
        <w:tc>
          <w:tcPr>
            <w:tcW w:w="6180" w:type="dxa"/>
            <w:vAlign w:val="bottom"/>
          </w:tcPr>
          <w:p>
            <w:pPr>
              <w:ind w:left="572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Felix Senn</w:t>
            </w:r>
          </w:p>
        </w:tc>
        <w:tc>
          <w:tcPr>
            <w:tcW w:w="40" w:type="dxa"/>
            <w:vAlign w:val="bottom"/>
          </w:tcPr>
          <w:p>
            <w:pPr>
              <w:spacing w:after="0"/>
              <w:rPr>
                <w:sz w:val="24"/>
                <w:szCs w:val="24"/>
                <w:color w:val="auto"/>
              </w:rPr>
            </w:pPr>
          </w:p>
        </w:tc>
      </w:tr>
      <w:tr>
        <w:trPr>
          <w:trHeight w:val="195"/>
        </w:trPr>
        <w:tc>
          <w:tcPr>
            <w:tcW w:w="618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Pr>
          <w:p>
            <w:pPr>
              <w:ind w:left="120"/>
              <w:spacing w:after="0" w:line="195" w:lineRule="exact"/>
              <w:rPr>
                <w:sz w:val="20"/>
                <w:szCs w:val="20"/>
                <w:color w:val="auto"/>
              </w:rPr>
            </w:pPr>
            <w:r>
              <w:rPr>
                <w:rFonts w:ascii="Arial" w:cs="Arial" w:eastAsia="Arial" w:hAnsi="Arial"/>
                <w:sz w:val="18"/>
                <w:szCs w:val="18"/>
                <w:color w:val="auto"/>
              </w:rPr>
              <w:t>Felix Senn</w:t>
            </w:r>
          </w:p>
        </w:tc>
        <w:tc>
          <w:tcPr>
            <w:tcW w:w="40" w:type="dxa"/>
            <w:vAlign w:val="bottom"/>
          </w:tcPr>
          <w:p>
            <w:pPr>
              <w:spacing w:after="0"/>
              <w:rPr>
                <w:sz w:val="16"/>
                <w:szCs w:val="16"/>
                <w:color w:val="auto"/>
              </w:rPr>
            </w:pPr>
          </w:p>
        </w:tc>
      </w:tr>
      <w:tr>
        <w:trPr>
          <w:trHeight w:val="230"/>
        </w:trPr>
        <w:tc>
          <w:tcPr>
            <w:tcW w:w="61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20"/>
              <w:spacing w:after="0"/>
              <w:rPr>
                <w:sz w:val="20"/>
                <w:szCs w:val="20"/>
                <w:color w:val="auto"/>
              </w:rPr>
            </w:pPr>
            <w:r>
              <w:rPr>
                <w:rFonts w:ascii="Arial" w:cs="Arial" w:eastAsia="Arial" w:hAnsi="Arial"/>
                <w:sz w:val="18"/>
                <w:szCs w:val="18"/>
                <w:color w:val="auto"/>
              </w:rPr>
              <w:t>Authorized Signatory</w:t>
            </w:r>
          </w:p>
        </w:tc>
        <w:tc>
          <w:tcPr>
            <w:tcW w:w="40" w:type="dxa"/>
            <w:vAlign w:val="bottom"/>
          </w:tcPr>
          <w:p>
            <w:pPr>
              <w:spacing w:after="0"/>
              <w:rPr>
                <w:sz w:val="20"/>
                <w:szCs w:val="20"/>
                <w:color w:val="auto"/>
              </w:rPr>
            </w:pPr>
          </w:p>
        </w:tc>
      </w:tr>
      <w:tr>
        <w:trPr>
          <w:trHeight w:val="432"/>
        </w:trPr>
        <w:tc>
          <w:tcPr>
            <w:tcW w:w="6180" w:type="dxa"/>
            <w:vAlign w:val="bottom"/>
          </w:tcPr>
          <w:p>
            <w:pPr>
              <w:ind w:left="5660"/>
              <w:spacing w:after="0"/>
              <w:rPr>
                <w:sz w:val="20"/>
                <w:szCs w:val="20"/>
                <w:color w:val="auto"/>
              </w:rPr>
            </w:pPr>
            <w:r>
              <w:rPr>
                <w:rFonts w:ascii="Arial" w:cs="Arial" w:eastAsia="Arial" w:hAnsi="Arial"/>
                <w:sz w:val="18"/>
                <w:szCs w:val="18"/>
                <w:color w:val="auto"/>
              </w:rPr>
              <w:t>7</w:t>
            </w:r>
          </w:p>
        </w:tc>
        <w:tc>
          <w:tcPr>
            <w:tcW w:w="6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1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6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ind w:left="10620"/>
        <w:spacing w:after="0"/>
        <w:rPr>
          <w:sz w:val="20"/>
          <w:szCs w:val="20"/>
          <w:color w:val="auto"/>
        </w:rPr>
      </w:pPr>
      <w:r>
        <w:rPr>
          <w:rFonts w:ascii="Arial" w:cs="Arial" w:eastAsia="Arial" w:hAnsi="Arial"/>
          <w:sz w:val="16"/>
          <w:szCs w:val="16"/>
          <w:b w:val="1"/>
          <w:bCs w:val="1"/>
          <w:color w:val="auto"/>
        </w:rPr>
        <w:t>Schedule I</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DIRECTORS AND EXECUTIVE OFFICERS OF</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NOVARTIS AG AND NOVARTIS INSTITUTES FOR BIOMEDICAL</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RESEARCH,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DIRECTORS AND EXECUTIVE OFFICERS OF NOVARTIS AG</w:t>
      </w:r>
    </w:p>
    <w:p>
      <w:pPr>
        <w:spacing w:after="0" w:line="225" w:lineRule="exact"/>
        <w:rPr>
          <w:sz w:val="20"/>
          <w:szCs w:val="20"/>
          <w:color w:val="auto"/>
        </w:rPr>
      </w:pPr>
    </w:p>
    <w:p>
      <w:pPr>
        <w:ind w:right="160" w:firstLine="720"/>
        <w:spacing w:after="0" w:line="312" w:lineRule="auto"/>
        <w:rPr>
          <w:sz w:val="20"/>
          <w:szCs w:val="20"/>
          <w:color w:val="auto"/>
        </w:rPr>
      </w:pPr>
      <w:r>
        <w:rPr>
          <w:rFonts w:ascii="Arial" w:cs="Arial" w:eastAsia="Arial" w:hAnsi="Arial"/>
          <w:sz w:val="16"/>
          <w:szCs w:val="16"/>
          <w:color w:val="auto"/>
        </w:rPr>
        <w:t>The name, function, citizenship and present principal occupation or employment of each of the directors and executive officers of Novartis AG are set forth below. Unless otherwise indicated below, (i) each occupation set forth opposite an individual’s name refers to employment with Novartis AG and (ii) the business address of each director and executive officer of Novartis AG is Novartis Campus, Lichstrasse 35, CH-4056, Basel, Switzerland.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740" w:type="dxa"/>
            <w:vAlign w:val="bottom"/>
          </w:tcPr>
          <w:p>
            <w:pPr>
              <w:ind w:left="920"/>
              <w:spacing w:after="0"/>
              <w:rPr>
                <w:sz w:val="20"/>
                <w:szCs w:val="20"/>
                <w:color w:val="auto"/>
              </w:rPr>
            </w:pPr>
            <w:r>
              <w:rPr>
                <w:rFonts w:ascii="Arial" w:cs="Arial" w:eastAsia="Arial" w:hAnsi="Arial"/>
                <w:sz w:val="14"/>
                <w:szCs w:val="14"/>
                <w:b w:val="1"/>
                <w:bCs w:val="1"/>
                <w:color w:val="auto"/>
              </w:rPr>
              <w:t>Relationship to</w:t>
            </w:r>
          </w:p>
        </w:tc>
        <w:tc>
          <w:tcPr>
            <w:tcW w:w="300" w:type="dxa"/>
            <w:vAlign w:val="bottom"/>
          </w:tcPr>
          <w:p>
            <w:pPr>
              <w:spacing w:after="0"/>
              <w:rPr>
                <w:sz w:val="14"/>
                <w:szCs w:val="14"/>
                <w:color w:val="auto"/>
              </w:rPr>
            </w:pPr>
          </w:p>
        </w:tc>
        <w:tc>
          <w:tcPr>
            <w:tcW w:w="302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Present Principal Occupation</w:t>
            </w: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Citizenship</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60" w:type="dxa"/>
            <w:vAlign w:val="bottom"/>
            <w:gridSpan w:val="3"/>
            <w:vMerge w:val="continue"/>
          </w:tcPr>
          <w:p>
            <w:pPr>
              <w:spacing w:after="0"/>
              <w:rPr>
                <w:sz w:val="14"/>
                <w:szCs w:val="14"/>
                <w:color w:val="auto"/>
              </w:rPr>
            </w:pPr>
          </w:p>
        </w:tc>
        <w:tc>
          <w:tcPr>
            <w:tcW w:w="2740" w:type="dxa"/>
            <w:vAlign w:val="bottom"/>
          </w:tcPr>
          <w:p>
            <w:pPr>
              <w:ind w:left="1000"/>
              <w:spacing w:after="0"/>
              <w:rPr>
                <w:sz w:val="20"/>
                <w:szCs w:val="20"/>
                <w:color w:val="auto"/>
              </w:rPr>
            </w:pPr>
            <w:r>
              <w:rPr>
                <w:rFonts w:ascii="Arial" w:cs="Arial" w:eastAsia="Arial" w:hAnsi="Arial"/>
                <w:sz w:val="14"/>
                <w:szCs w:val="14"/>
                <w:b w:val="1"/>
                <w:bCs w:val="1"/>
                <w:color w:val="auto"/>
              </w:rPr>
              <w:t>Novartis AG</w:t>
            </w:r>
          </w:p>
        </w:tc>
        <w:tc>
          <w:tcPr>
            <w:tcW w:w="300" w:type="dxa"/>
            <w:vAlign w:val="bottom"/>
          </w:tcPr>
          <w:p>
            <w:pPr>
              <w:spacing w:after="0"/>
              <w:rPr>
                <w:sz w:val="14"/>
                <w:szCs w:val="14"/>
                <w:color w:val="auto"/>
              </w:rPr>
            </w:pPr>
          </w:p>
        </w:tc>
        <w:tc>
          <w:tcPr>
            <w:tcW w:w="3020" w:type="dxa"/>
            <w:vAlign w:val="bottom"/>
            <w:gridSpan w:val="2"/>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3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7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7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Joseph Jimenez</w:t>
            </w: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Member of the Executive Committee;</w:t>
            </w:r>
          </w:p>
        </w:tc>
        <w:tc>
          <w:tcPr>
            <w:tcW w:w="3320" w:type="dxa"/>
            <w:vAlign w:val="bottom"/>
            <w:gridSpan w:val="3"/>
            <w:shd w:val="clear" w:color="auto" w:fill="CCEEFF"/>
          </w:tcPr>
          <w:p>
            <w:pPr>
              <w:ind w:left="300"/>
              <w:spacing w:after="0" w:line="201" w:lineRule="exact"/>
              <w:rPr>
                <w:sz w:val="20"/>
                <w:szCs w:val="20"/>
                <w:color w:val="auto"/>
              </w:rPr>
            </w:pPr>
            <w:r>
              <w:rPr>
                <w:rFonts w:ascii="Arial" w:cs="Arial" w:eastAsia="Arial" w:hAnsi="Arial"/>
                <w:sz w:val="18"/>
                <w:szCs w:val="18"/>
                <w:color w:val="auto"/>
              </w:rPr>
              <w:t>Member of the Executive</w:t>
            </w:r>
          </w:p>
        </w:tc>
        <w:tc>
          <w:tcPr>
            <w:tcW w:w="1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American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33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Committee; Chief Executive Officer</w:t>
            </w:r>
          </w:p>
        </w:tc>
        <w:tc>
          <w:tcPr>
            <w:tcW w:w="17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Steven Baert</w:t>
            </w: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Member of the Executive Committee;</w:t>
            </w:r>
          </w:p>
        </w:tc>
        <w:tc>
          <w:tcPr>
            <w:tcW w:w="3320" w:type="dxa"/>
            <w:vAlign w:val="bottom"/>
            <w:gridSpan w:val="3"/>
            <w:shd w:val="clear" w:color="auto" w:fill="CCEEFF"/>
          </w:tcPr>
          <w:p>
            <w:pPr>
              <w:ind w:left="300"/>
              <w:spacing w:after="0" w:line="201" w:lineRule="exact"/>
              <w:rPr>
                <w:sz w:val="20"/>
                <w:szCs w:val="20"/>
                <w:color w:val="auto"/>
              </w:rPr>
            </w:pPr>
            <w:r>
              <w:rPr>
                <w:rFonts w:ascii="Arial" w:cs="Arial" w:eastAsia="Arial" w:hAnsi="Arial"/>
                <w:sz w:val="18"/>
                <w:szCs w:val="18"/>
                <w:color w:val="auto"/>
              </w:rPr>
              <w:t>Member of the Executive</w:t>
            </w:r>
          </w:p>
        </w:tc>
        <w:tc>
          <w:tcPr>
            <w:tcW w:w="1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Belgian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Head of Human Resources</w:t>
            </w:r>
          </w:p>
        </w:tc>
        <w:tc>
          <w:tcPr>
            <w:tcW w:w="33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Committee; Head of Human</w:t>
            </w:r>
          </w:p>
        </w:tc>
        <w:tc>
          <w:tcPr>
            <w:tcW w:w="17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p>
        </w:tc>
        <w:tc>
          <w:tcPr>
            <w:tcW w:w="33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Resources</w:t>
            </w:r>
          </w:p>
        </w:tc>
        <w:tc>
          <w:tcPr>
            <w:tcW w:w="17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 Michael (Mike) Ball</w:t>
            </w: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Member of the Executive Committee;</w:t>
            </w:r>
          </w:p>
        </w:tc>
        <w:tc>
          <w:tcPr>
            <w:tcW w:w="3320" w:type="dxa"/>
            <w:vAlign w:val="bottom"/>
            <w:gridSpan w:val="3"/>
            <w:shd w:val="clear" w:color="auto" w:fill="CCEEFF"/>
          </w:tcPr>
          <w:p>
            <w:pPr>
              <w:ind w:left="300"/>
              <w:spacing w:after="0" w:line="201" w:lineRule="exact"/>
              <w:rPr>
                <w:sz w:val="20"/>
                <w:szCs w:val="20"/>
                <w:color w:val="auto"/>
              </w:rPr>
            </w:pPr>
            <w:r>
              <w:rPr>
                <w:rFonts w:ascii="Arial" w:cs="Arial" w:eastAsia="Arial" w:hAnsi="Arial"/>
                <w:sz w:val="18"/>
                <w:szCs w:val="18"/>
                <w:color w:val="auto"/>
              </w:rPr>
              <w:t>Member of the Executive</w:t>
            </w:r>
          </w:p>
        </w:tc>
        <w:tc>
          <w:tcPr>
            <w:tcW w:w="1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American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Division Head and CEO, Alcon</w:t>
            </w:r>
          </w:p>
        </w:tc>
        <w:tc>
          <w:tcPr>
            <w:tcW w:w="33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Committee; Division Head and CEO,</w:t>
            </w:r>
          </w:p>
        </w:tc>
        <w:tc>
          <w:tcPr>
            <w:tcW w:w="17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p>
        </w:tc>
        <w:tc>
          <w:tcPr>
            <w:tcW w:w="33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Alcon</w:t>
            </w:r>
          </w:p>
        </w:tc>
        <w:tc>
          <w:tcPr>
            <w:tcW w:w="17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Felix R. Ehrat, Ph.D.</w:t>
            </w: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Member of the Executive Committee;</w:t>
            </w:r>
          </w:p>
        </w:tc>
        <w:tc>
          <w:tcPr>
            <w:tcW w:w="3320" w:type="dxa"/>
            <w:vAlign w:val="bottom"/>
            <w:gridSpan w:val="3"/>
            <w:shd w:val="clear" w:color="auto" w:fill="CCEEFF"/>
          </w:tcPr>
          <w:p>
            <w:pPr>
              <w:ind w:left="300"/>
              <w:spacing w:after="0" w:line="201" w:lineRule="exact"/>
              <w:rPr>
                <w:sz w:val="20"/>
                <w:szCs w:val="20"/>
                <w:color w:val="auto"/>
              </w:rPr>
            </w:pPr>
            <w:r>
              <w:rPr>
                <w:rFonts w:ascii="Arial" w:cs="Arial" w:eastAsia="Arial" w:hAnsi="Arial"/>
                <w:sz w:val="18"/>
                <w:szCs w:val="18"/>
                <w:color w:val="auto"/>
              </w:rPr>
              <w:t>Member of the Executive</w:t>
            </w:r>
          </w:p>
        </w:tc>
        <w:tc>
          <w:tcPr>
            <w:tcW w:w="1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Swiss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Group General Counsel</w:t>
            </w:r>
          </w:p>
        </w:tc>
        <w:tc>
          <w:tcPr>
            <w:tcW w:w="33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Committee; Group General Counsel</w:t>
            </w:r>
          </w:p>
        </w:tc>
        <w:tc>
          <w:tcPr>
            <w:tcW w:w="17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David Epstein</w:t>
            </w: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Member of the Executive Committee;</w:t>
            </w:r>
          </w:p>
        </w:tc>
        <w:tc>
          <w:tcPr>
            <w:tcW w:w="3320" w:type="dxa"/>
            <w:vAlign w:val="bottom"/>
            <w:gridSpan w:val="3"/>
            <w:shd w:val="clear" w:color="auto" w:fill="CCEEFF"/>
          </w:tcPr>
          <w:p>
            <w:pPr>
              <w:ind w:left="300"/>
              <w:spacing w:after="0" w:line="201" w:lineRule="exact"/>
              <w:rPr>
                <w:sz w:val="20"/>
                <w:szCs w:val="20"/>
                <w:color w:val="auto"/>
              </w:rPr>
            </w:pPr>
            <w:r>
              <w:rPr>
                <w:rFonts w:ascii="Arial" w:cs="Arial" w:eastAsia="Arial" w:hAnsi="Arial"/>
                <w:sz w:val="18"/>
                <w:szCs w:val="18"/>
                <w:color w:val="auto"/>
              </w:rPr>
              <w:t>Member of the Executive</w:t>
            </w:r>
          </w:p>
        </w:tc>
        <w:tc>
          <w:tcPr>
            <w:tcW w:w="1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American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Division Head and CEO, Novartis</w:t>
            </w:r>
          </w:p>
        </w:tc>
        <w:tc>
          <w:tcPr>
            <w:tcW w:w="33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Committee; Division Head and CEO,</w:t>
            </w:r>
          </w:p>
        </w:tc>
        <w:tc>
          <w:tcPr>
            <w:tcW w:w="17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Pharmaceuticals</w:t>
            </w:r>
          </w:p>
        </w:tc>
        <w:tc>
          <w:tcPr>
            <w:tcW w:w="33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Novartis Pharmaceuticals</w:t>
            </w:r>
          </w:p>
        </w:tc>
        <w:tc>
          <w:tcPr>
            <w:tcW w:w="17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Mark C. Fishman, M.D.</w:t>
            </w: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Member of the Executive Committee;</w:t>
            </w:r>
          </w:p>
        </w:tc>
        <w:tc>
          <w:tcPr>
            <w:tcW w:w="3320" w:type="dxa"/>
            <w:vAlign w:val="bottom"/>
            <w:gridSpan w:val="3"/>
            <w:shd w:val="clear" w:color="auto" w:fill="CCEEFF"/>
          </w:tcPr>
          <w:p>
            <w:pPr>
              <w:ind w:left="300"/>
              <w:spacing w:after="0" w:line="201" w:lineRule="exact"/>
              <w:rPr>
                <w:sz w:val="20"/>
                <w:szCs w:val="20"/>
                <w:color w:val="auto"/>
              </w:rPr>
            </w:pPr>
            <w:r>
              <w:rPr>
                <w:rFonts w:ascii="Arial" w:cs="Arial" w:eastAsia="Arial" w:hAnsi="Arial"/>
                <w:sz w:val="18"/>
                <w:szCs w:val="18"/>
                <w:color w:val="auto"/>
              </w:rPr>
              <w:t>Member of the Executive</w:t>
            </w:r>
          </w:p>
        </w:tc>
        <w:tc>
          <w:tcPr>
            <w:tcW w:w="1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American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w w:val="99"/>
              </w:rPr>
              <w:t>President of the Novartis Institutes</w:t>
            </w:r>
          </w:p>
        </w:tc>
        <w:tc>
          <w:tcPr>
            <w:tcW w:w="33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Committee; President of the Novartis</w:t>
            </w:r>
          </w:p>
        </w:tc>
        <w:tc>
          <w:tcPr>
            <w:tcW w:w="17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for BioMedical Research</w:t>
            </w:r>
          </w:p>
        </w:tc>
        <w:tc>
          <w:tcPr>
            <w:tcW w:w="33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Institutes for BioMedical Research;</w:t>
            </w:r>
          </w:p>
        </w:tc>
        <w:tc>
          <w:tcPr>
            <w:tcW w:w="17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250 Massachusetts Avenue,</w:t>
            </w:r>
          </w:p>
        </w:tc>
        <w:tc>
          <w:tcPr>
            <w:tcW w:w="17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p>
        </w:tc>
        <w:tc>
          <w:tcPr>
            <w:tcW w:w="33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Cambridge, MA 02139, USA</w:t>
            </w:r>
          </w:p>
        </w:tc>
        <w:tc>
          <w:tcPr>
            <w:tcW w:w="17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808080"/>
            </w:tcBorders>
          </w:tcPr>
          <w:p>
            <w:pPr>
              <w:spacing w:after="0"/>
              <w:rPr>
                <w:sz w:val="24"/>
                <w:szCs w:val="24"/>
                <w:color w:val="auto"/>
              </w:rPr>
            </w:pPr>
          </w:p>
        </w:tc>
        <w:tc>
          <w:tcPr>
            <w:tcW w:w="33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7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7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740" w:type="dxa"/>
            <w:vAlign w:val="bottom"/>
          </w:tcPr>
          <w:p>
            <w:pPr>
              <w:ind w:left="920"/>
              <w:spacing w:after="0"/>
              <w:rPr>
                <w:sz w:val="20"/>
                <w:szCs w:val="20"/>
                <w:color w:val="auto"/>
              </w:rPr>
            </w:pPr>
            <w:r>
              <w:rPr>
                <w:rFonts w:ascii="Arial" w:cs="Arial" w:eastAsia="Arial" w:hAnsi="Arial"/>
                <w:sz w:val="14"/>
                <w:szCs w:val="14"/>
                <w:b w:val="1"/>
                <w:bCs w:val="1"/>
                <w:color w:val="auto"/>
              </w:rPr>
              <w:t>Relationship to</w:t>
            </w:r>
          </w:p>
        </w:tc>
        <w:tc>
          <w:tcPr>
            <w:tcW w:w="300" w:type="dxa"/>
            <w:vAlign w:val="bottom"/>
          </w:tcPr>
          <w:p>
            <w:pPr>
              <w:spacing w:after="0"/>
              <w:rPr>
                <w:sz w:val="13"/>
                <w:szCs w:val="13"/>
                <w:color w:val="auto"/>
              </w:rPr>
            </w:pPr>
          </w:p>
        </w:tc>
        <w:tc>
          <w:tcPr>
            <w:tcW w:w="302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Present Principal Occupation</w:t>
            </w: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Citizenship</w:t>
            </w:r>
          </w:p>
        </w:tc>
        <w:tc>
          <w:tcPr>
            <w:tcW w:w="0" w:type="dxa"/>
            <w:vAlign w:val="bottom"/>
          </w:tcPr>
          <w:p>
            <w:pPr>
              <w:spacing w:after="0"/>
              <w:rPr>
                <w:sz w:val="1"/>
                <w:szCs w:val="1"/>
                <w:color w:val="auto"/>
              </w:rPr>
            </w:pPr>
          </w:p>
        </w:tc>
      </w:tr>
      <w:tr>
        <w:trPr>
          <w:trHeight w:val="171"/>
        </w:trPr>
        <w:tc>
          <w:tcPr>
            <w:tcW w:w="3660" w:type="dxa"/>
            <w:vAlign w:val="bottom"/>
            <w:gridSpan w:val="3"/>
            <w:vMerge w:val="continue"/>
          </w:tcPr>
          <w:p>
            <w:pPr>
              <w:spacing w:after="0"/>
              <w:rPr>
                <w:sz w:val="14"/>
                <w:szCs w:val="14"/>
                <w:color w:val="auto"/>
              </w:rPr>
            </w:pPr>
          </w:p>
        </w:tc>
        <w:tc>
          <w:tcPr>
            <w:tcW w:w="2740" w:type="dxa"/>
            <w:vAlign w:val="bottom"/>
          </w:tcPr>
          <w:p>
            <w:pPr>
              <w:ind w:left="1000"/>
              <w:spacing w:after="0"/>
              <w:rPr>
                <w:sz w:val="20"/>
                <w:szCs w:val="20"/>
                <w:color w:val="auto"/>
              </w:rPr>
            </w:pPr>
            <w:r>
              <w:rPr>
                <w:rFonts w:ascii="Arial" w:cs="Arial" w:eastAsia="Arial" w:hAnsi="Arial"/>
                <w:sz w:val="14"/>
                <w:szCs w:val="14"/>
                <w:b w:val="1"/>
                <w:bCs w:val="1"/>
                <w:color w:val="auto"/>
              </w:rPr>
              <w:t>Novartis AG</w:t>
            </w:r>
          </w:p>
        </w:tc>
        <w:tc>
          <w:tcPr>
            <w:tcW w:w="300" w:type="dxa"/>
            <w:vAlign w:val="bottom"/>
          </w:tcPr>
          <w:p>
            <w:pPr>
              <w:spacing w:after="0"/>
              <w:rPr>
                <w:sz w:val="14"/>
                <w:szCs w:val="14"/>
                <w:color w:val="auto"/>
              </w:rPr>
            </w:pPr>
          </w:p>
        </w:tc>
        <w:tc>
          <w:tcPr>
            <w:tcW w:w="3020" w:type="dxa"/>
            <w:vAlign w:val="bottom"/>
            <w:gridSpan w:val="2"/>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Richard Francis</w:t>
            </w: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Member of the Executive Committee;</w:t>
            </w:r>
          </w:p>
        </w:tc>
        <w:tc>
          <w:tcPr>
            <w:tcW w:w="3320" w:type="dxa"/>
            <w:vAlign w:val="bottom"/>
            <w:gridSpan w:val="3"/>
            <w:shd w:val="clear" w:color="auto" w:fill="CCEEFF"/>
          </w:tcPr>
          <w:p>
            <w:pPr>
              <w:ind w:left="300"/>
              <w:spacing w:after="0" w:line="201" w:lineRule="exact"/>
              <w:rPr>
                <w:sz w:val="20"/>
                <w:szCs w:val="20"/>
                <w:color w:val="auto"/>
              </w:rPr>
            </w:pPr>
            <w:r>
              <w:rPr>
                <w:rFonts w:ascii="Arial" w:cs="Arial" w:eastAsia="Arial" w:hAnsi="Arial"/>
                <w:sz w:val="18"/>
                <w:szCs w:val="18"/>
                <w:color w:val="auto"/>
              </w:rPr>
              <w:t>Member of the Executive</w:t>
            </w:r>
          </w:p>
        </w:tc>
        <w:tc>
          <w:tcPr>
            <w:tcW w:w="1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British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Division Head and CEO, Sandoz</w:t>
            </w:r>
          </w:p>
        </w:tc>
        <w:tc>
          <w:tcPr>
            <w:tcW w:w="33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Committee; Division Head and CEO,</w:t>
            </w: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p>
        </w:tc>
        <w:tc>
          <w:tcPr>
            <w:tcW w:w="33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Sandoz</w:t>
            </w: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Harry Kirsch</w:t>
            </w: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Member of the Executive Committee;</w:t>
            </w:r>
          </w:p>
        </w:tc>
        <w:tc>
          <w:tcPr>
            <w:tcW w:w="3320" w:type="dxa"/>
            <w:vAlign w:val="bottom"/>
            <w:gridSpan w:val="3"/>
            <w:shd w:val="clear" w:color="auto" w:fill="CCEEFF"/>
          </w:tcPr>
          <w:p>
            <w:pPr>
              <w:ind w:left="300"/>
              <w:spacing w:after="0" w:line="201" w:lineRule="exact"/>
              <w:rPr>
                <w:sz w:val="20"/>
                <w:szCs w:val="20"/>
                <w:color w:val="auto"/>
              </w:rPr>
            </w:pPr>
            <w:r>
              <w:rPr>
                <w:rFonts w:ascii="Arial" w:cs="Arial" w:eastAsia="Arial" w:hAnsi="Arial"/>
                <w:sz w:val="18"/>
                <w:szCs w:val="18"/>
                <w:color w:val="auto"/>
              </w:rPr>
              <w:t>Member of the Executive</w:t>
            </w:r>
          </w:p>
        </w:tc>
        <w:tc>
          <w:tcPr>
            <w:tcW w:w="1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German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33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Committee; Chief Financial Officer</w:t>
            </w: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Vasant (Vas) Narasimhan, M.D.</w:t>
            </w: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Member of the Executive Committee;</w:t>
            </w:r>
          </w:p>
        </w:tc>
        <w:tc>
          <w:tcPr>
            <w:tcW w:w="3320" w:type="dxa"/>
            <w:vAlign w:val="bottom"/>
            <w:gridSpan w:val="3"/>
            <w:shd w:val="clear" w:color="auto" w:fill="CCEEFF"/>
          </w:tcPr>
          <w:p>
            <w:pPr>
              <w:ind w:left="300"/>
              <w:spacing w:after="0" w:line="201" w:lineRule="exact"/>
              <w:rPr>
                <w:sz w:val="20"/>
                <w:szCs w:val="20"/>
                <w:color w:val="auto"/>
              </w:rPr>
            </w:pPr>
            <w:r>
              <w:rPr>
                <w:rFonts w:ascii="Arial" w:cs="Arial" w:eastAsia="Arial" w:hAnsi="Arial"/>
                <w:sz w:val="18"/>
                <w:szCs w:val="18"/>
                <w:color w:val="auto"/>
              </w:rPr>
              <w:t>Member of the Executive</w:t>
            </w:r>
          </w:p>
        </w:tc>
        <w:tc>
          <w:tcPr>
            <w:tcW w:w="1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American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w w:val="92"/>
              </w:rPr>
              <w:t>Global Head, Drug Development and</w:t>
            </w:r>
          </w:p>
        </w:tc>
        <w:tc>
          <w:tcPr>
            <w:tcW w:w="33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Committee; Global Head, Drug</w:t>
            </w: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332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274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274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7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337" w:right="199" w:bottom="0" w:gutter="0" w:footer="0" w:header="0"/>
        </w:sectPr>
      </w:pPr>
    </w:p>
    <w:bookmarkStart w:id="6" w:name="page7"/>
    <w:bookmarkEnd w:id="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35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Chief Medical Officer</w:t>
            </w:r>
          </w:p>
        </w:tc>
        <w:tc>
          <w:tcPr>
            <w:tcW w:w="3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Development and Chief Medical</w:t>
            </w:r>
          </w:p>
        </w:tc>
        <w:tc>
          <w:tcPr>
            <w:tcW w:w="16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shd w:val="clear" w:color="auto" w:fill="CCEEFF"/>
          </w:tcPr>
          <w:p>
            <w:pPr>
              <w:spacing w:after="0"/>
              <w:rPr>
                <w:sz w:val="20"/>
                <w:szCs w:val="20"/>
                <w:color w:val="auto"/>
              </w:rPr>
            </w:pPr>
          </w:p>
        </w:tc>
        <w:tc>
          <w:tcPr>
            <w:tcW w:w="3540" w:type="dxa"/>
            <w:vAlign w:val="bottom"/>
            <w:shd w:val="clear" w:color="auto" w:fill="CCEEFF"/>
          </w:tcPr>
          <w:p>
            <w:pPr>
              <w:spacing w:after="0"/>
              <w:rPr>
                <w:sz w:val="20"/>
                <w:szCs w:val="20"/>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Officer</w:t>
            </w:r>
          </w:p>
        </w:tc>
        <w:tc>
          <w:tcPr>
            <w:tcW w:w="16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André Wyss</w:t>
            </w:r>
          </w:p>
        </w:tc>
        <w:tc>
          <w:tcPr>
            <w:tcW w:w="354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w w:val="97"/>
              </w:rPr>
              <w:t>Member of the Executive Committee;</w:t>
            </w:r>
          </w:p>
        </w:tc>
        <w:tc>
          <w:tcPr>
            <w:tcW w:w="32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Member of the Executive</w:t>
            </w:r>
          </w:p>
        </w:tc>
        <w:tc>
          <w:tcPr>
            <w:tcW w:w="1600" w:type="dxa"/>
            <w:vAlign w:val="bottom"/>
            <w:shd w:val="clear" w:color="auto" w:fill="CCEEFF"/>
          </w:tcPr>
          <w:p>
            <w:pPr>
              <w:jc w:val="center"/>
              <w:ind w:right="10"/>
              <w:spacing w:after="0" w:line="201" w:lineRule="exact"/>
              <w:rPr>
                <w:sz w:val="20"/>
                <w:szCs w:val="20"/>
                <w:color w:val="auto"/>
              </w:rPr>
            </w:pPr>
            <w:r>
              <w:rPr>
                <w:rFonts w:ascii="Arial" w:cs="Arial" w:eastAsia="Arial" w:hAnsi="Arial"/>
                <w:sz w:val="18"/>
                <w:szCs w:val="18"/>
                <w:color w:val="auto"/>
                <w:w w:val="89"/>
              </w:rPr>
              <w:t>Swiss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35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President, Novartis Operations and</w:t>
            </w:r>
          </w:p>
        </w:tc>
        <w:tc>
          <w:tcPr>
            <w:tcW w:w="3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Committee; President, Novartis</w:t>
            </w:r>
          </w:p>
        </w:tc>
        <w:tc>
          <w:tcPr>
            <w:tcW w:w="16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35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Country President for Switzerland</w:t>
            </w:r>
          </w:p>
        </w:tc>
        <w:tc>
          <w:tcPr>
            <w:tcW w:w="3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Operations and Country President for</w:t>
            </w:r>
          </w:p>
        </w:tc>
        <w:tc>
          <w:tcPr>
            <w:tcW w:w="16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shd w:val="clear" w:color="auto" w:fill="CCEEFF"/>
          </w:tcPr>
          <w:p>
            <w:pPr>
              <w:spacing w:after="0"/>
              <w:rPr>
                <w:sz w:val="20"/>
                <w:szCs w:val="20"/>
                <w:color w:val="auto"/>
              </w:rPr>
            </w:pPr>
          </w:p>
        </w:tc>
        <w:tc>
          <w:tcPr>
            <w:tcW w:w="3540" w:type="dxa"/>
            <w:vAlign w:val="bottom"/>
            <w:shd w:val="clear" w:color="auto" w:fill="CCEEFF"/>
          </w:tcPr>
          <w:p>
            <w:pPr>
              <w:spacing w:after="0"/>
              <w:rPr>
                <w:sz w:val="20"/>
                <w:szCs w:val="20"/>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Switzerland</w:t>
            </w:r>
          </w:p>
        </w:tc>
        <w:tc>
          <w:tcPr>
            <w:tcW w:w="16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Joerg Reinhardt, Ph.D.</w:t>
            </w:r>
          </w:p>
        </w:tc>
        <w:tc>
          <w:tcPr>
            <w:tcW w:w="35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Chairman of the Board of Directors</w:t>
            </w:r>
          </w:p>
        </w:tc>
        <w:tc>
          <w:tcPr>
            <w:tcW w:w="3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Chairman of the Board of Directors</w:t>
            </w:r>
          </w:p>
        </w:tc>
        <w:tc>
          <w:tcPr>
            <w:tcW w:w="16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9"/>
              </w:rPr>
              <w:t>German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Enrico Vanni, Ph.D.</w:t>
            </w:r>
          </w:p>
        </w:tc>
        <w:tc>
          <w:tcPr>
            <w:tcW w:w="354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Vice Chairman of the Board of</w:t>
            </w:r>
          </w:p>
        </w:tc>
        <w:tc>
          <w:tcPr>
            <w:tcW w:w="32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Independent Consultant</w:t>
            </w:r>
          </w:p>
        </w:tc>
        <w:tc>
          <w:tcPr>
            <w:tcW w:w="1600" w:type="dxa"/>
            <w:vAlign w:val="bottom"/>
            <w:shd w:val="clear" w:color="auto" w:fill="CCEEFF"/>
          </w:tcPr>
          <w:p>
            <w:pPr>
              <w:jc w:val="center"/>
              <w:ind w:right="10"/>
              <w:spacing w:after="0" w:line="201" w:lineRule="exact"/>
              <w:rPr>
                <w:sz w:val="20"/>
                <w:szCs w:val="20"/>
                <w:color w:val="auto"/>
              </w:rPr>
            </w:pPr>
            <w:r>
              <w:rPr>
                <w:rFonts w:ascii="Arial" w:cs="Arial" w:eastAsia="Arial" w:hAnsi="Arial"/>
                <w:sz w:val="18"/>
                <w:szCs w:val="18"/>
                <w:color w:val="auto"/>
                <w:w w:val="89"/>
              </w:rPr>
              <w:t>Swiss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shd w:val="clear" w:color="auto" w:fill="CCEEFF"/>
          </w:tcPr>
          <w:p>
            <w:pPr>
              <w:spacing w:after="0"/>
              <w:rPr>
                <w:sz w:val="20"/>
                <w:szCs w:val="20"/>
                <w:color w:val="auto"/>
              </w:rPr>
            </w:pPr>
          </w:p>
        </w:tc>
        <w:tc>
          <w:tcPr>
            <w:tcW w:w="35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Directors</w:t>
            </w:r>
          </w:p>
        </w:tc>
        <w:tc>
          <w:tcPr>
            <w:tcW w:w="32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Nancy C. Andrews, M.D., Ph.D.</w:t>
            </w:r>
          </w:p>
        </w:tc>
        <w:tc>
          <w:tcPr>
            <w:tcW w:w="354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Director</w:t>
            </w:r>
          </w:p>
        </w:tc>
        <w:tc>
          <w:tcPr>
            <w:tcW w:w="32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Dean and Vice Chancellor for</w:t>
            </w:r>
          </w:p>
        </w:tc>
        <w:tc>
          <w:tcPr>
            <w:tcW w:w="1600" w:type="dxa"/>
            <w:vAlign w:val="bottom"/>
            <w:shd w:val="clear" w:color="auto" w:fill="CCEEFF"/>
          </w:tcPr>
          <w:p>
            <w:pPr>
              <w:jc w:val="center"/>
              <w:ind w:right="10"/>
              <w:spacing w:after="0" w:line="201" w:lineRule="exact"/>
              <w:rPr>
                <w:sz w:val="20"/>
                <w:szCs w:val="20"/>
                <w:color w:val="auto"/>
              </w:rPr>
            </w:pPr>
            <w:r>
              <w:rPr>
                <w:rFonts w:ascii="Arial" w:cs="Arial" w:eastAsia="Arial" w:hAnsi="Arial"/>
                <w:sz w:val="18"/>
                <w:szCs w:val="18"/>
                <w:color w:val="auto"/>
                <w:w w:val="92"/>
              </w:rPr>
              <w:t>American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Academic Affairs at the</w:t>
            </w:r>
          </w:p>
        </w:tc>
        <w:tc>
          <w:tcPr>
            <w:tcW w:w="16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shd w:val="clear" w:color="auto" w:fill="CCEEFF"/>
          </w:tcPr>
          <w:p>
            <w:pPr>
              <w:spacing w:after="0"/>
              <w:rPr>
                <w:sz w:val="20"/>
                <w:szCs w:val="20"/>
                <w:color w:val="auto"/>
              </w:rPr>
            </w:pPr>
          </w:p>
        </w:tc>
        <w:tc>
          <w:tcPr>
            <w:tcW w:w="3540" w:type="dxa"/>
            <w:vAlign w:val="bottom"/>
            <w:shd w:val="clear" w:color="auto" w:fill="CCEEFF"/>
          </w:tcPr>
          <w:p>
            <w:pPr>
              <w:spacing w:after="0"/>
              <w:rPr>
                <w:sz w:val="20"/>
                <w:szCs w:val="20"/>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Duke University School of Medicine</w:t>
            </w:r>
          </w:p>
        </w:tc>
        <w:tc>
          <w:tcPr>
            <w:tcW w:w="16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Dimitri Azar, M.D., MBA</w:t>
            </w:r>
          </w:p>
        </w:tc>
        <w:tc>
          <w:tcPr>
            <w:tcW w:w="354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Director</w:t>
            </w:r>
          </w:p>
        </w:tc>
        <w:tc>
          <w:tcPr>
            <w:tcW w:w="32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Dean of the College of Medicine and</w:t>
            </w:r>
          </w:p>
        </w:tc>
        <w:tc>
          <w:tcPr>
            <w:tcW w:w="1600" w:type="dxa"/>
            <w:vAlign w:val="bottom"/>
            <w:shd w:val="clear" w:color="auto" w:fill="CCEEFF"/>
          </w:tcPr>
          <w:p>
            <w:pPr>
              <w:jc w:val="center"/>
              <w:ind w:right="10"/>
              <w:spacing w:after="0" w:line="201" w:lineRule="exact"/>
              <w:rPr>
                <w:sz w:val="20"/>
                <w:szCs w:val="20"/>
                <w:color w:val="auto"/>
              </w:rPr>
            </w:pPr>
            <w:r>
              <w:rPr>
                <w:rFonts w:ascii="Arial" w:cs="Arial" w:eastAsia="Arial" w:hAnsi="Arial"/>
                <w:sz w:val="18"/>
                <w:szCs w:val="18"/>
                <w:color w:val="auto"/>
                <w:w w:val="92"/>
              </w:rPr>
              <w:t>American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Professor of Ophthalmology,</w:t>
            </w:r>
          </w:p>
        </w:tc>
        <w:tc>
          <w:tcPr>
            <w:tcW w:w="16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Bioengineering and Pharmacology at</w:t>
            </w:r>
          </w:p>
        </w:tc>
        <w:tc>
          <w:tcPr>
            <w:tcW w:w="16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shd w:val="clear" w:color="auto" w:fill="CCEEFF"/>
          </w:tcPr>
          <w:p>
            <w:pPr>
              <w:spacing w:after="0"/>
              <w:rPr>
                <w:sz w:val="20"/>
                <w:szCs w:val="20"/>
                <w:color w:val="auto"/>
              </w:rPr>
            </w:pPr>
          </w:p>
        </w:tc>
        <w:tc>
          <w:tcPr>
            <w:tcW w:w="3540" w:type="dxa"/>
            <w:vAlign w:val="bottom"/>
            <w:shd w:val="clear" w:color="auto" w:fill="CCEEFF"/>
          </w:tcPr>
          <w:p>
            <w:pPr>
              <w:spacing w:after="0"/>
              <w:rPr>
                <w:sz w:val="20"/>
                <w:szCs w:val="20"/>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the University of Illinois at Chicago</w:t>
            </w:r>
          </w:p>
        </w:tc>
        <w:tc>
          <w:tcPr>
            <w:tcW w:w="16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808080"/>
            </w:tcBorders>
          </w:tcPr>
          <w:p>
            <w:pPr>
              <w:spacing w:after="0"/>
              <w:rPr>
                <w:sz w:val="24"/>
                <w:szCs w:val="24"/>
                <w:color w:val="auto"/>
              </w:rPr>
            </w:pPr>
          </w:p>
        </w:tc>
        <w:tc>
          <w:tcPr>
            <w:tcW w:w="3000" w:type="dxa"/>
            <w:vAlign w:val="bottom"/>
            <w:tcBorders>
              <w:bottom w:val="single" w:sz="8" w:color="808080"/>
            </w:tcBorders>
          </w:tcPr>
          <w:p>
            <w:pPr>
              <w:spacing w:after="0"/>
              <w:rPr>
                <w:sz w:val="24"/>
                <w:szCs w:val="24"/>
                <w:color w:val="auto"/>
              </w:rPr>
            </w:pPr>
          </w:p>
        </w:tc>
        <w:tc>
          <w:tcPr>
            <w:tcW w:w="3540" w:type="dxa"/>
            <w:vAlign w:val="bottom"/>
            <w:tcBorders>
              <w:bottom w:val="single" w:sz="8" w:color="808080"/>
            </w:tcBorders>
          </w:tcPr>
          <w:p>
            <w:pPr>
              <w:spacing w:after="0"/>
              <w:rPr>
                <w:sz w:val="24"/>
                <w:szCs w:val="24"/>
                <w:color w:val="auto"/>
              </w:rPr>
            </w:pPr>
          </w:p>
        </w:tc>
        <w:tc>
          <w:tcPr>
            <w:tcW w:w="326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740" w:type="dxa"/>
            <w:vAlign w:val="bottom"/>
          </w:tcPr>
          <w:p>
            <w:pPr>
              <w:ind w:left="920"/>
              <w:spacing w:after="0"/>
              <w:rPr>
                <w:sz w:val="20"/>
                <w:szCs w:val="20"/>
                <w:color w:val="auto"/>
              </w:rPr>
            </w:pPr>
            <w:r>
              <w:rPr>
                <w:rFonts w:ascii="Arial" w:cs="Arial" w:eastAsia="Arial" w:hAnsi="Arial"/>
                <w:sz w:val="14"/>
                <w:szCs w:val="14"/>
                <w:b w:val="1"/>
                <w:bCs w:val="1"/>
                <w:color w:val="auto"/>
              </w:rPr>
              <w:t>Relationship to</w:t>
            </w:r>
          </w:p>
        </w:tc>
        <w:tc>
          <w:tcPr>
            <w:tcW w:w="300" w:type="dxa"/>
            <w:vAlign w:val="bottom"/>
          </w:tcPr>
          <w:p>
            <w:pPr>
              <w:spacing w:after="0"/>
              <w:rPr>
                <w:sz w:val="14"/>
                <w:szCs w:val="14"/>
                <w:color w:val="auto"/>
              </w:rPr>
            </w:pPr>
          </w:p>
        </w:tc>
        <w:tc>
          <w:tcPr>
            <w:tcW w:w="302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Present Principal Occupation</w:t>
            </w: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Citizenship</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60" w:type="dxa"/>
            <w:vAlign w:val="bottom"/>
            <w:gridSpan w:val="3"/>
            <w:vMerge w:val="continue"/>
          </w:tcPr>
          <w:p>
            <w:pPr>
              <w:spacing w:after="0"/>
              <w:rPr>
                <w:sz w:val="14"/>
                <w:szCs w:val="14"/>
                <w:color w:val="auto"/>
              </w:rPr>
            </w:pPr>
          </w:p>
        </w:tc>
        <w:tc>
          <w:tcPr>
            <w:tcW w:w="2740" w:type="dxa"/>
            <w:vAlign w:val="bottom"/>
          </w:tcPr>
          <w:p>
            <w:pPr>
              <w:ind w:left="1000"/>
              <w:spacing w:after="0"/>
              <w:rPr>
                <w:sz w:val="20"/>
                <w:szCs w:val="20"/>
                <w:color w:val="auto"/>
              </w:rPr>
            </w:pPr>
            <w:r>
              <w:rPr>
                <w:rFonts w:ascii="Arial" w:cs="Arial" w:eastAsia="Arial" w:hAnsi="Arial"/>
                <w:sz w:val="14"/>
                <w:szCs w:val="14"/>
                <w:b w:val="1"/>
                <w:bCs w:val="1"/>
                <w:color w:val="auto"/>
              </w:rPr>
              <w:t>Novartis AG</w:t>
            </w:r>
          </w:p>
        </w:tc>
        <w:tc>
          <w:tcPr>
            <w:tcW w:w="300" w:type="dxa"/>
            <w:vAlign w:val="bottom"/>
          </w:tcPr>
          <w:p>
            <w:pPr>
              <w:spacing w:after="0"/>
              <w:rPr>
                <w:sz w:val="14"/>
                <w:szCs w:val="14"/>
                <w:color w:val="auto"/>
              </w:rPr>
            </w:pPr>
          </w:p>
        </w:tc>
        <w:tc>
          <w:tcPr>
            <w:tcW w:w="3020" w:type="dxa"/>
            <w:vAlign w:val="bottom"/>
            <w:gridSpan w:val="2"/>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Verena A. Briner, M.D.</w:t>
            </w: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Director</w:t>
            </w:r>
          </w:p>
        </w:tc>
        <w:tc>
          <w:tcPr>
            <w:tcW w:w="3320" w:type="dxa"/>
            <w:vAlign w:val="bottom"/>
            <w:gridSpan w:val="3"/>
            <w:shd w:val="clear" w:color="auto" w:fill="CCEEFF"/>
          </w:tcPr>
          <w:p>
            <w:pPr>
              <w:ind w:left="300"/>
              <w:spacing w:after="0" w:line="201" w:lineRule="exact"/>
              <w:rPr>
                <w:sz w:val="20"/>
                <w:szCs w:val="20"/>
                <w:color w:val="auto"/>
              </w:rPr>
            </w:pPr>
            <w:r>
              <w:rPr>
                <w:rFonts w:ascii="Arial" w:cs="Arial" w:eastAsia="Arial" w:hAnsi="Arial"/>
                <w:sz w:val="18"/>
                <w:szCs w:val="18"/>
                <w:color w:val="auto"/>
              </w:rPr>
              <w:t>Professor of Internal Medicine at the</w:t>
            </w:r>
          </w:p>
        </w:tc>
        <w:tc>
          <w:tcPr>
            <w:tcW w:w="1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Swiss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University of Basel and Chief</w:t>
            </w:r>
          </w:p>
        </w:tc>
        <w:tc>
          <w:tcPr>
            <w:tcW w:w="17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Medical Officer and Head of the</w:t>
            </w:r>
          </w:p>
        </w:tc>
        <w:tc>
          <w:tcPr>
            <w:tcW w:w="17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Department of Medicine at the</w:t>
            </w:r>
          </w:p>
        </w:tc>
        <w:tc>
          <w:tcPr>
            <w:tcW w:w="17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p>
        </w:tc>
        <w:tc>
          <w:tcPr>
            <w:tcW w:w="33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Lucerne Cantonal Hospital</w:t>
            </w:r>
          </w:p>
        </w:tc>
        <w:tc>
          <w:tcPr>
            <w:tcW w:w="17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Srikant Datar, Ph.D.</w:t>
            </w: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Director</w:t>
            </w:r>
          </w:p>
        </w:tc>
        <w:tc>
          <w:tcPr>
            <w:tcW w:w="3320" w:type="dxa"/>
            <w:vAlign w:val="bottom"/>
            <w:gridSpan w:val="3"/>
            <w:shd w:val="clear" w:color="auto" w:fill="CCEEFF"/>
          </w:tcPr>
          <w:p>
            <w:pPr>
              <w:ind w:left="300"/>
              <w:spacing w:after="0" w:line="201" w:lineRule="exact"/>
              <w:rPr>
                <w:sz w:val="20"/>
                <w:szCs w:val="20"/>
                <w:color w:val="auto"/>
              </w:rPr>
            </w:pPr>
            <w:r>
              <w:rPr>
                <w:rFonts w:ascii="Arial" w:cs="Arial" w:eastAsia="Arial" w:hAnsi="Arial"/>
                <w:sz w:val="18"/>
                <w:szCs w:val="18"/>
                <w:color w:val="auto"/>
              </w:rPr>
              <w:t>Arthur Lowes Dickinson Professor at</w:t>
            </w:r>
          </w:p>
        </w:tc>
        <w:tc>
          <w:tcPr>
            <w:tcW w:w="1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American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the Graduate School of Business</w:t>
            </w:r>
          </w:p>
        </w:tc>
        <w:tc>
          <w:tcPr>
            <w:tcW w:w="17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p>
        </w:tc>
        <w:tc>
          <w:tcPr>
            <w:tcW w:w="33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Administration at Harvard University</w:t>
            </w:r>
          </w:p>
        </w:tc>
        <w:tc>
          <w:tcPr>
            <w:tcW w:w="17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Ann Fudge</w:t>
            </w: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Director</w:t>
            </w:r>
          </w:p>
        </w:tc>
        <w:tc>
          <w:tcPr>
            <w:tcW w:w="3320" w:type="dxa"/>
            <w:vAlign w:val="bottom"/>
            <w:gridSpan w:val="3"/>
            <w:shd w:val="clear" w:color="auto" w:fill="CCEEFF"/>
          </w:tcPr>
          <w:p>
            <w:pPr>
              <w:ind w:left="300"/>
              <w:spacing w:after="0" w:line="201" w:lineRule="exact"/>
              <w:rPr>
                <w:sz w:val="20"/>
                <w:szCs w:val="20"/>
                <w:color w:val="auto"/>
              </w:rPr>
            </w:pPr>
            <w:r>
              <w:rPr>
                <w:rFonts w:ascii="Arial" w:cs="Arial" w:eastAsia="Arial" w:hAnsi="Arial"/>
                <w:sz w:val="18"/>
                <w:szCs w:val="18"/>
                <w:color w:val="auto"/>
              </w:rPr>
              <w:t>Vice Chairman and Senior</w:t>
            </w:r>
          </w:p>
        </w:tc>
        <w:tc>
          <w:tcPr>
            <w:tcW w:w="1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American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p>
        </w:tc>
        <w:tc>
          <w:tcPr>
            <w:tcW w:w="33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Independent Director of Unilever NV</w:t>
            </w:r>
          </w:p>
        </w:tc>
        <w:tc>
          <w:tcPr>
            <w:tcW w:w="17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Pierre Landolt, Ph.D.</w:t>
            </w: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Director</w:t>
            </w:r>
          </w:p>
        </w:tc>
        <w:tc>
          <w:tcPr>
            <w:tcW w:w="3320" w:type="dxa"/>
            <w:vAlign w:val="bottom"/>
            <w:gridSpan w:val="3"/>
            <w:shd w:val="clear" w:color="auto" w:fill="CCEEFF"/>
          </w:tcPr>
          <w:p>
            <w:pPr>
              <w:ind w:left="300"/>
              <w:spacing w:after="0" w:line="201" w:lineRule="exact"/>
              <w:rPr>
                <w:sz w:val="20"/>
                <w:szCs w:val="20"/>
                <w:color w:val="auto"/>
              </w:rPr>
            </w:pPr>
            <w:r>
              <w:rPr>
                <w:rFonts w:ascii="Arial" w:cs="Arial" w:eastAsia="Arial" w:hAnsi="Arial"/>
                <w:sz w:val="18"/>
                <w:szCs w:val="18"/>
                <w:color w:val="auto"/>
              </w:rPr>
              <w:t>Chairman of the Sandoz Family</w:t>
            </w:r>
          </w:p>
        </w:tc>
        <w:tc>
          <w:tcPr>
            <w:tcW w:w="1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Swiss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p>
        </w:tc>
        <w:tc>
          <w:tcPr>
            <w:tcW w:w="33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Foundation</w:t>
            </w:r>
          </w:p>
        </w:tc>
        <w:tc>
          <w:tcPr>
            <w:tcW w:w="17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Andreas von Planta, Ph.D.</w:t>
            </w: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33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Partner at Lenz &amp; Staehelin</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Swiss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Charles L. Sawyers, M.D.</w:t>
            </w: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Director</w:t>
            </w:r>
          </w:p>
        </w:tc>
        <w:tc>
          <w:tcPr>
            <w:tcW w:w="3320" w:type="dxa"/>
            <w:vAlign w:val="bottom"/>
            <w:gridSpan w:val="3"/>
            <w:shd w:val="clear" w:color="auto" w:fill="CCEEFF"/>
          </w:tcPr>
          <w:p>
            <w:pPr>
              <w:ind w:left="300"/>
              <w:spacing w:after="0" w:line="201" w:lineRule="exact"/>
              <w:rPr>
                <w:sz w:val="20"/>
                <w:szCs w:val="20"/>
                <w:color w:val="auto"/>
              </w:rPr>
            </w:pPr>
            <w:r>
              <w:rPr>
                <w:rFonts w:ascii="Arial" w:cs="Arial" w:eastAsia="Arial" w:hAnsi="Arial"/>
                <w:sz w:val="18"/>
                <w:szCs w:val="18"/>
                <w:color w:val="auto"/>
              </w:rPr>
              <w:t>Chair of the Human Oncology and</w:t>
            </w:r>
          </w:p>
        </w:tc>
        <w:tc>
          <w:tcPr>
            <w:tcW w:w="1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American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Pathogenesis Program at Memorial</w:t>
            </w:r>
          </w:p>
        </w:tc>
        <w:tc>
          <w:tcPr>
            <w:tcW w:w="17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Sloan-Kettering Cancer Center;</w:t>
            </w:r>
          </w:p>
        </w:tc>
        <w:tc>
          <w:tcPr>
            <w:tcW w:w="17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Professor of Medicine and of Cell</w:t>
            </w:r>
          </w:p>
        </w:tc>
        <w:tc>
          <w:tcPr>
            <w:tcW w:w="17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and Developmental Biology at the</w:t>
            </w:r>
          </w:p>
        </w:tc>
        <w:tc>
          <w:tcPr>
            <w:tcW w:w="17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Weill Cornell Graduate School of</w:t>
            </w:r>
          </w:p>
        </w:tc>
        <w:tc>
          <w:tcPr>
            <w:tcW w:w="17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p>
        </w:tc>
        <w:tc>
          <w:tcPr>
            <w:tcW w:w="33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Medical Sciences</w:t>
            </w:r>
          </w:p>
        </w:tc>
        <w:tc>
          <w:tcPr>
            <w:tcW w:w="17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William T. Winters</w:t>
            </w: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Director</w:t>
            </w:r>
          </w:p>
        </w:tc>
        <w:tc>
          <w:tcPr>
            <w:tcW w:w="3320" w:type="dxa"/>
            <w:vAlign w:val="bottom"/>
            <w:gridSpan w:val="3"/>
            <w:shd w:val="clear" w:color="auto" w:fill="CCEEFF"/>
          </w:tcPr>
          <w:p>
            <w:pPr>
              <w:ind w:left="300"/>
              <w:spacing w:after="0" w:line="201" w:lineRule="exact"/>
              <w:rPr>
                <w:sz w:val="20"/>
                <w:szCs w:val="20"/>
                <w:color w:val="auto"/>
              </w:rPr>
            </w:pPr>
            <w:r>
              <w:rPr>
                <w:rFonts w:ascii="Arial" w:cs="Arial" w:eastAsia="Arial" w:hAnsi="Arial"/>
                <w:sz w:val="18"/>
                <w:szCs w:val="18"/>
                <w:color w:val="auto"/>
              </w:rPr>
              <w:t>CEO and director of Standard</w:t>
            </w:r>
          </w:p>
        </w:tc>
        <w:tc>
          <w:tcPr>
            <w:tcW w:w="1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British</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Chartered, a banking and financial</w:t>
            </w:r>
          </w:p>
        </w:tc>
        <w:tc>
          <w:tcPr>
            <w:tcW w:w="17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p>
        </w:tc>
        <w:tc>
          <w:tcPr>
            <w:tcW w:w="33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services company based in London</w:t>
            </w:r>
          </w:p>
        </w:tc>
        <w:tc>
          <w:tcPr>
            <w:tcW w:w="17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808080"/>
            </w:tcBorders>
          </w:tcPr>
          <w:p>
            <w:pPr>
              <w:spacing w:after="0"/>
              <w:rPr>
                <w:sz w:val="24"/>
                <w:szCs w:val="24"/>
                <w:color w:val="auto"/>
              </w:rPr>
            </w:pPr>
          </w:p>
        </w:tc>
        <w:tc>
          <w:tcPr>
            <w:tcW w:w="33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7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7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DIRECTORS AND EXECUTIVE OFFICERS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NOVARTIS INSTITUTES FOR BIOMEDICAL RESEARCH, INC.</w:t>
      </w:r>
    </w:p>
    <w:p>
      <w:pPr>
        <w:spacing w:after="0" w:line="211" w:lineRule="exact"/>
        <w:rPr>
          <w:sz w:val="20"/>
          <w:szCs w:val="20"/>
          <w:color w:val="auto"/>
        </w:rPr>
      </w:pPr>
    </w:p>
    <w:p>
      <w:pPr>
        <w:ind w:right="220" w:firstLine="720"/>
        <w:spacing w:after="0" w:line="279" w:lineRule="auto"/>
        <w:rPr>
          <w:sz w:val="20"/>
          <w:szCs w:val="20"/>
          <w:color w:val="auto"/>
        </w:rPr>
      </w:pPr>
      <w:r>
        <w:rPr>
          <w:rFonts w:ascii="Arial" w:cs="Arial" w:eastAsia="Arial" w:hAnsi="Arial"/>
          <w:sz w:val="17"/>
          <w:szCs w:val="17"/>
          <w:color w:val="auto"/>
        </w:rPr>
        <w:t>The name, function, citizenship and present principal occupation or employment of each of the directors and executive officers of Novartis Institutes for BioMedical Research, Inc. are set forth below. Unless otherwise indicated below, (i) each occupation set forth opposite an individual’s name refers to employment with Novartis Institutes for BioMedical Research, Inc. and (ii) the business address of each director and executive officer for Novartis Institutes for BioMedical Research, Inc. is 250 Massachusetts Avenue Cambridge, MA 02139, USA.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640" w:type="dxa"/>
            <w:vAlign w:val="bottom"/>
          </w:tcPr>
          <w:p>
            <w:pPr>
              <w:ind w:left="280"/>
              <w:spacing w:after="0"/>
              <w:rPr>
                <w:sz w:val="20"/>
                <w:szCs w:val="20"/>
                <w:color w:val="auto"/>
              </w:rPr>
            </w:pPr>
            <w:r>
              <w:rPr>
                <w:rFonts w:ascii="Arial" w:cs="Arial" w:eastAsia="Arial" w:hAnsi="Arial"/>
                <w:sz w:val="14"/>
                <w:szCs w:val="14"/>
                <w:b w:val="1"/>
                <w:bCs w:val="1"/>
                <w:color w:val="auto"/>
              </w:rPr>
              <w:t>Relationship to Novartis Institutes</w:t>
            </w:r>
          </w:p>
        </w:tc>
        <w:tc>
          <w:tcPr>
            <w:tcW w:w="280" w:type="dxa"/>
            <w:vAlign w:val="bottom"/>
          </w:tcPr>
          <w:p>
            <w:pPr>
              <w:spacing w:after="0"/>
              <w:rPr>
                <w:sz w:val="14"/>
                <w:szCs w:val="14"/>
                <w:color w:val="auto"/>
              </w:rPr>
            </w:pPr>
          </w:p>
        </w:tc>
        <w:tc>
          <w:tcPr>
            <w:tcW w:w="3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Present Principal</w:t>
            </w:r>
          </w:p>
        </w:tc>
        <w:tc>
          <w:tcPr>
            <w:tcW w:w="170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Citizenship</w:t>
            </w:r>
          </w:p>
        </w:tc>
        <w:tc>
          <w:tcPr>
            <w:tcW w:w="0" w:type="dxa"/>
            <w:vAlign w:val="bottom"/>
          </w:tcPr>
          <w:p>
            <w:pPr>
              <w:spacing w:after="0"/>
              <w:rPr>
                <w:sz w:val="1"/>
                <w:szCs w:val="1"/>
                <w:color w:val="auto"/>
              </w:rPr>
            </w:pPr>
          </w:p>
        </w:tc>
      </w:tr>
      <w:tr>
        <w:trPr>
          <w:trHeight w:val="171"/>
        </w:trPr>
        <w:tc>
          <w:tcPr>
            <w:tcW w:w="3780" w:type="dxa"/>
            <w:vAlign w:val="bottom"/>
            <w:gridSpan w:val="3"/>
            <w:vMerge w:val="continue"/>
          </w:tcPr>
          <w:p>
            <w:pPr>
              <w:spacing w:after="0"/>
              <w:rPr>
                <w:sz w:val="14"/>
                <w:szCs w:val="14"/>
                <w:color w:val="auto"/>
              </w:rPr>
            </w:pPr>
          </w:p>
        </w:tc>
        <w:tc>
          <w:tcPr>
            <w:tcW w:w="2640" w:type="dxa"/>
            <w:vAlign w:val="bottom"/>
          </w:tcPr>
          <w:p>
            <w:pPr>
              <w:ind w:left="420"/>
              <w:spacing w:after="0"/>
              <w:rPr>
                <w:sz w:val="20"/>
                <w:szCs w:val="20"/>
                <w:color w:val="auto"/>
              </w:rPr>
            </w:pPr>
            <w:r>
              <w:rPr>
                <w:rFonts w:ascii="Arial" w:cs="Arial" w:eastAsia="Arial" w:hAnsi="Arial"/>
                <w:sz w:val="14"/>
                <w:szCs w:val="14"/>
                <w:b w:val="1"/>
                <w:bCs w:val="1"/>
                <w:color w:val="auto"/>
              </w:rPr>
              <w:t>for BioMedical Research, Inc.</w:t>
            </w:r>
          </w:p>
        </w:tc>
        <w:tc>
          <w:tcPr>
            <w:tcW w:w="280" w:type="dxa"/>
            <w:vAlign w:val="bottom"/>
          </w:tcPr>
          <w:p>
            <w:pPr>
              <w:spacing w:after="0"/>
              <w:rPr>
                <w:sz w:val="14"/>
                <w:szCs w:val="14"/>
                <w:color w:val="auto"/>
              </w:rPr>
            </w:pPr>
          </w:p>
        </w:tc>
        <w:tc>
          <w:tcPr>
            <w:tcW w:w="3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Occupation</w:t>
            </w: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6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7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Mark C. Fishman, M.D.</w:t>
            </w:r>
          </w:p>
        </w:tc>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Chairman of the NIBR Executive</w:t>
            </w:r>
          </w:p>
        </w:tc>
        <w:tc>
          <w:tcPr>
            <w:tcW w:w="330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Member of the Novartis AG</w:t>
            </w:r>
          </w:p>
        </w:tc>
        <w:tc>
          <w:tcPr>
            <w:tcW w:w="1700" w:type="dxa"/>
            <w:vAlign w:val="bottom"/>
            <w:shd w:val="clear" w:color="auto" w:fill="CCEEFF"/>
          </w:tcPr>
          <w:p>
            <w:pPr>
              <w:ind w:left="500"/>
              <w:spacing w:after="0" w:line="201" w:lineRule="exact"/>
              <w:rPr>
                <w:sz w:val="20"/>
                <w:szCs w:val="20"/>
                <w:color w:val="auto"/>
              </w:rPr>
            </w:pPr>
            <w:r>
              <w:rPr>
                <w:rFonts w:ascii="Arial" w:cs="Arial" w:eastAsia="Arial" w:hAnsi="Arial"/>
                <w:sz w:val="18"/>
                <w:szCs w:val="18"/>
                <w:color w:val="auto"/>
              </w:rPr>
              <w:t>American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w w:val="98"/>
              </w:rPr>
              <w:t>Committee; Vice Chairman of the</w:t>
            </w:r>
          </w:p>
        </w:tc>
        <w:tc>
          <w:tcPr>
            <w:tcW w:w="33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Executive Committee; President of</w:t>
            </w: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Board of Directors; President of</w:t>
            </w:r>
          </w:p>
        </w:tc>
        <w:tc>
          <w:tcPr>
            <w:tcW w:w="33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NIBR</w:t>
            </w: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NIBR</w:t>
            </w:r>
          </w:p>
        </w:tc>
        <w:tc>
          <w:tcPr>
            <w:tcW w:w="28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4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6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7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7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34" w:right="199" w:bottom="0" w:gutter="0" w:footer="0" w:header="0"/>
        </w:sectPr>
      </w:pPr>
    </w:p>
    <w:bookmarkStart w:id="7" w:name="page8"/>
    <w:bookmarkEnd w:id="7"/>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Evan Beckman, M.D.</w:t>
            </w:r>
          </w:p>
        </w:tc>
        <w:tc>
          <w:tcPr>
            <w:tcW w:w="38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Member of the NIBR Executive</w:t>
            </w: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Member of the NIBR Executive</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American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38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Committee; Global Head of</w:t>
            </w: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Committee; Global Head of</w:t>
            </w:r>
          </w:p>
        </w:tc>
        <w:tc>
          <w:tcPr>
            <w:tcW w:w="16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38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Translational Medicine</w:t>
            </w: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Translational Medicine</w:t>
            </w:r>
          </w:p>
        </w:tc>
        <w:tc>
          <w:tcPr>
            <w:tcW w:w="16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James Bradner, M.D.</w:t>
            </w:r>
          </w:p>
        </w:tc>
        <w:tc>
          <w:tcPr>
            <w:tcW w:w="3860" w:type="dxa"/>
            <w:vAlign w:val="bottom"/>
            <w:shd w:val="clear" w:color="auto" w:fill="CCEEFF"/>
          </w:tcPr>
          <w:p>
            <w:pPr>
              <w:ind w:left="1100"/>
              <w:spacing w:after="0" w:line="201" w:lineRule="exact"/>
              <w:rPr>
                <w:sz w:val="20"/>
                <w:szCs w:val="20"/>
                <w:color w:val="auto"/>
              </w:rPr>
            </w:pPr>
            <w:r>
              <w:rPr>
                <w:rFonts w:ascii="Arial" w:cs="Arial" w:eastAsia="Arial" w:hAnsi="Arial"/>
                <w:sz w:val="18"/>
                <w:szCs w:val="18"/>
                <w:color w:val="auto"/>
              </w:rPr>
              <w:t>Member of the NIBR Executive</w:t>
            </w:r>
          </w:p>
        </w:tc>
        <w:tc>
          <w:tcPr>
            <w:tcW w:w="32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Member of the NIBR Executive</w:t>
            </w:r>
          </w:p>
        </w:tc>
        <w:tc>
          <w:tcPr>
            <w:tcW w:w="16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American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386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98"/>
              </w:rPr>
              <w:t>Committee; President Designate of</w:t>
            </w: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Committee; President Designate of</w:t>
            </w:r>
          </w:p>
        </w:tc>
        <w:tc>
          <w:tcPr>
            <w:tcW w:w="16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38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NIBR</w:t>
            </w: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NIBR</w:t>
            </w:r>
          </w:p>
        </w:tc>
        <w:tc>
          <w:tcPr>
            <w:tcW w:w="16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Karin Briner, Ph.D.</w:t>
            </w:r>
          </w:p>
        </w:tc>
        <w:tc>
          <w:tcPr>
            <w:tcW w:w="3860" w:type="dxa"/>
            <w:vAlign w:val="bottom"/>
            <w:shd w:val="clear" w:color="auto" w:fill="CCEEFF"/>
          </w:tcPr>
          <w:p>
            <w:pPr>
              <w:ind w:left="1100"/>
              <w:spacing w:after="0" w:line="201" w:lineRule="exact"/>
              <w:rPr>
                <w:sz w:val="20"/>
                <w:szCs w:val="20"/>
                <w:color w:val="auto"/>
              </w:rPr>
            </w:pPr>
            <w:r>
              <w:rPr>
                <w:rFonts w:ascii="Arial" w:cs="Arial" w:eastAsia="Arial" w:hAnsi="Arial"/>
                <w:sz w:val="18"/>
                <w:szCs w:val="18"/>
                <w:color w:val="auto"/>
              </w:rPr>
              <w:t>Member of the NIBR Executive</w:t>
            </w:r>
          </w:p>
        </w:tc>
        <w:tc>
          <w:tcPr>
            <w:tcW w:w="32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Member of the NIBR Executive</w:t>
            </w:r>
          </w:p>
        </w:tc>
        <w:tc>
          <w:tcPr>
            <w:tcW w:w="16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Swiss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38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Committee; Head of Global</w:t>
            </w: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Committee; Head of Global</w:t>
            </w:r>
          </w:p>
        </w:tc>
        <w:tc>
          <w:tcPr>
            <w:tcW w:w="16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38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Discovery Chemistry</w:t>
            </w: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Discovery Chemistry</w:t>
            </w:r>
          </w:p>
        </w:tc>
        <w:tc>
          <w:tcPr>
            <w:tcW w:w="16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Scott Brown</w:t>
            </w:r>
          </w:p>
        </w:tc>
        <w:tc>
          <w:tcPr>
            <w:tcW w:w="3860" w:type="dxa"/>
            <w:vAlign w:val="bottom"/>
            <w:shd w:val="clear" w:color="auto" w:fill="CCEEFF"/>
          </w:tcPr>
          <w:p>
            <w:pPr>
              <w:ind w:left="1100"/>
              <w:spacing w:after="0" w:line="201" w:lineRule="exact"/>
              <w:rPr>
                <w:sz w:val="20"/>
                <w:szCs w:val="20"/>
                <w:color w:val="auto"/>
              </w:rPr>
            </w:pPr>
            <w:r>
              <w:rPr>
                <w:rFonts w:ascii="Arial" w:cs="Arial" w:eastAsia="Arial" w:hAnsi="Arial"/>
                <w:sz w:val="18"/>
                <w:szCs w:val="18"/>
                <w:color w:val="auto"/>
              </w:rPr>
              <w:t>Member of the NIBR Executive</w:t>
            </w:r>
          </w:p>
        </w:tc>
        <w:tc>
          <w:tcPr>
            <w:tcW w:w="32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Member of the NIBR Executive</w:t>
            </w:r>
          </w:p>
        </w:tc>
        <w:tc>
          <w:tcPr>
            <w:tcW w:w="16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American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38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Committee; Vice President and</w:t>
            </w: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Committee; Vice President and</w:t>
            </w:r>
          </w:p>
        </w:tc>
        <w:tc>
          <w:tcPr>
            <w:tcW w:w="16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38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General Counsel</w:t>
            </w: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Counsel</w:t>
            </w:r>
          </w:p>
        </w:tc>
        <w:tc>
          <w:tcPr>
            <w:tcW w:w="16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Donald Ganem, M.D.</w:t>
            </w:r>
          </w:p>
        </w:tc>
        <w:tc>
          <w:tcPr>
            <w:tcW w:w="3860" w:type="dxa"/>
            <w:vAlign w:val="bottom"/>
            <w:shd w:val="clear" w:color="auto" w:fill="CCEEFF"/>
          </w:tcPr>
          <w:p>
            <w:pPr>
              <w:ind w:left="1100"/>
              <w:spacing w:after="0" w:line="201" w:lineRule="exact"/>
              <w:rPr>
                <w:sz w:val="20"/>
                <w:szCs w:val="20"/>
                <w:color w:val="auto"/>
              </w:rPr>
            </w:pPr>
            <w:r>
              <w:rPr>
                <w:rFonts w:ascii="Arial" w:cs="Arial" w:eastAsia="Arial" w:hAnsi="Arial"/>
                <w:sz w:val="18"/>
                <w:szCs w:val="18"/>
                <w:color w:val="auto"/>
              </w:rPr>
              <w:t>Member of the NIBR Executive</w:t>
            </w:r>
          </w:p>
        </w:tc>
        <w:tc>
          <w:tcPr>
            <w:tcW w:w="32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Member of the NIBR Executive</w:t>
            </w:r>
          </w:p>
        </w:tc>
        <w:tc>
          <w:tcPr>
            <w:tcW w:w="16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American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38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Committee; Vice President and</w:t>
            </w: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Committee; Vice President and</w:t>
            </w:r>
          </w:p>
        </w:tc>
        <w:tc>
          <w:tcPr>
            <w:tcW w:w="16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386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95"/>
              </w:rPr>
              <w:t>Global Head of Infectious Diseases;</w:t>
            </w: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Global Head of Infectious Diseases;</w:t>
            </w:r>
          </w:p>
        </w:tc>
        <w:tc>
          <w:tcPr>
            <w:tcW w:w="16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Novartis Institutes for BioMedical</w:t>
            </w:r>
          </w:p>
        </w:tc>
        <w:tc>
          <w:tcPr>
            <w:tcW w:w="16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5300 Chiron Way,</w:t>
            </w:r>
          </w:p>
        </w:tc>
        <w:tc>
          <w:tcPr>
            <w:tcW w:w="16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3860" w:type="dxa"/>
            <w:vAlign w:val="bottom"/>
            <w:shd w:val="clear" w:color="auto" w:fill="CCEEFF"/>
          </w:tcPr>
          <w:p>
            <w:pPr>
              <w:spacing w:after="0"/>
              <w:rPr>
                <w:sz w:val="20"/>
                <w:szCs w:val="20"/>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Emeryville, CA, 94608</w:t>
            </w:r>
          </w:p>
        </w:tc>
        <w:tc>
          <w:tcPr>
            <w:tcW w:w="16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808080"/>
            </w:tcBorders>
          </w:tcPr>
          <w:p>
            <w:pPr>
              <w:spacing w:after="0"/>
              <w:rPr>
                <w:sz w:val="24"/>
                <w:szCs w:val="24"/>
                <w:color w:val="auto"/>
              </w:rPr>
            </w:pPr>
          </w:p>
        </w:tc>
        <w:tc>
          <w:tcPr>
            <w:tcW w:w="2660" w:type="dxa"/>
            <w:vAlign w:val="bottom"/>
            <w:tcBorders>
              <w:bottom w:val="single" w:sz="8" w:color="808080"/>
            </w:tcBorders>
          </w:tcPr>
          <w:p>
            <w:pPr>
              <w:spacing w:after="0"/>
              <w:rPr>
                <w:sz w:val="24"/>
                <w:szCs w:val="24"/>
                <w:color w:val="auto"/>
              </w:rPr>
            </w:pPr>
          </w:p>
        </w:tc>
        <w:tc>
          <w:tcPr>
            <w:tcW w:w="3860" w:type="dxa"/>
            <w:vAlign w:val="bottom"/>
            <w:tcBorders>
              <w:bottom w:val="single" w:sz="8" w:color="808080"/>
            </w:tcBorders>
          </w:tcPr>
          <w:p>
            <w:pPr>
              <w:spacing w:after="0"/>
              <w:rPr>
                <w:sz w:val="24"/>
                <w:szCs w:val="24"/>
                <w:color w:val="auto"/>
              </w:rPr>
            </w:pPr>
          </w:p>
        </w:tc>
        <w:tc>
          <w:tcPr>
            <w:tcW w:w="322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640" w:type="dxa"/>
            <w:vAlign w:val="bottom"/>
          </w:tcPr>
          <w:p>
            <w:pPr>
              <w:ind w:left="280"/>
              <w:spacing w:after="0"/>
              <w:rPr>
                <w:sz w:val="20"/>
                <w:szCs w:val="20"/>
                <w:color w:val="auto"/>
              </w:rPr>
            </w:pPr>
            <w:r>
              <w:rPr>
                <w:rFonts w:ascii="Arial" w:cs="Arial" w:eastAsia="Arial" w:hAnsi="Arial"/>
                <w:sz w:val="14"/>
                <w:szCs w:val="14"/>
                <w:b w:val="1"/>
                <w:bCs w:val="1"/>
                <w:color w:val="auto"/>
              </w:rPr>
              <w:t>Relationship to Novartis Institutes</w:t>
            </w:r>
          </w:p>
        </w:tc>
        <w:tc>
          <w:tcPr>
            <w:tcW w:w="280" w:type="dxa"/>
            <w:vAlign w:val="bottom"/>
          </w:tcPr>
          <w:p>
            <w:pPr>
              <w:spacing w:after="0"/>
              <w:rPr>
                <w:sz w:val="14"/>
                <w:szCs w:val="14"/>
                <w:color w:val="auto"/>
              </w:rPr>
            </w:pPr>
          </w:p>
        </w:tc>
        <w:tc>
          <w:tcPr>
            <w:tcW w:w="3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Present Principal</w:t>
            </w: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Citizenship</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80" w:type="dxa"/>
            <w:vAlign w:val="bottom"/>
            <w:gridSpan w:val="3"/>
            <w:vMerge w:val="continue"/>
          </w:tcPr>
          <w:p>
            <w:pPr>
              <w:spacing w:after="0"/>
              <w:rPr>
                <w:sz w:val="14"/>
                <w:szCs w:val="14"/>
                <w:color w:val="auto"/>
              </w:rPr>
            </w:pPr>
          </w:p>
        </w:tc>
        <w:tc>
          <w:tcPr>
            <w:tcW w:w="2640" w:type="dxa"/>
            <w:vAlign w:val="bottom"/>
          </w:tcPr>
          <w:p>
            <w:pPr>
              <w:ind w:left="420"/>
              <w:spacing w:after="0"/>
              <w:rPr>
                <w:sz w:val="20"/>
                <w:szCs w:val="20"/>
                <w:color w:val="auto"/>
              </w:rPr>
            </w:pPr>
            <w:r>
              <w:rPr>
                <w:rFonts w:ascii="Arial" w:cs="Arial" w:eastAsia="Arial" w:hAnsi="Arial"/>
                <w:sz w:val="14"/>
                <w:szCs w:val="14"/>
                <w:b w:val="1"/>
                <w:bCs w:val="1"/>
                <w:color w:val="auto"/>
              </w:rPr>
              <w:t>for BioMedical Research, Inc.</w:t>
            </w:r>
          </w:p>
        </w:tc>
        <w:tc>
          <w:tcPr>
            <w:tcW w:w="280" w:type="dxa"/>
            <w:vAlign w:val="bottom"/>
          </w:tcPr>
          <w:p>
            <w:pPr>
              <w:spacing w:after="0"/>
              <w:rPr>
                <w:sz w:val="14"/>
                <w:szCs w:val="14"/>
                <w:color w:val="auto"/>
              </w:rPr>
            </w:pPr>
          </w:p>
        </w:tc>
        <w:tc>
          <w:tcPr>
            <w:tcW w:w="3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Occupation</w:t>
            </w:r>
          </w:p>
        </w:tc>
        <w:tc>
          <w:tcPr>
            <w:tcW w:w="1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John Hastewell, D. Phil.</w:t>
            </w:r>
          </w:p>
        </w:tc>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Member of the NIBR Executive</w:t>
            </w:r>
          </w:p>
        </w:tc>
        <w:tc>
          <w:tcPr>
            <w:tcW w:w="330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Member of the NIBR Executive</w:t>
            </w:r>
          </w:p>
        </w:tc>
        <w:tc>
          <w:tcPr>
            <w:tcW w:w="1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American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Committee; Head of Research</w:t>
            </w:r>
          </w:p>
        </w:tc>
        <w:tc>
          <w:tcPr>
            <w:tcW w:w="33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Committee; Head of Research</w:t>
            </w:r>
          </w:p>
        </w:tc>
        <w:tc>
          <w:tcPr>
            <w:tcW w:w="17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Cambridge and Global Head of</w:t>
            </w:r>
          </w:p>
        </w:tc>
        <w:tc>
          <w:tcPr>
            <w:tcW w:w="33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Cambridge and Global Head of</w:t>
            </w:r>
          </w:p>
        </w:tc>
        <w:tc>
          <w:tcPr>
            <w:tcW w:w="17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Biologics</w:t>
            </w:r>
          </w:p>
        </w:tc>
        <w:tc>
          <w:tcPr>
            <w:tcW w:w="33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Biologics</w:t>
            </w:r>
          </w:p>
        </w:tc>
        <w:tc>
          <w:tcPr>
            <w:tcW w:w="17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Christian Klee</w:t>
            </w:r>
          </w:p>
        </w:tc>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Member of the NIBR Executive</w:t>
            </w:r>
          </w:p>
        </w:tc>
        <w:tc>
          <w:tcPr>
            <w:tcW w:w="330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Member of the NIBR Executive</w:t>
            </w:r>
          </w:p>
        </w:tc>
        <w:tc>
          <w:tcPr>
            <w:tcW w:w="1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Swiss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w w:val="93"/>
              </w:rPr>
              <w:t>Committee; Chief Financial Officer;</w:t>
            </w:r>
          </w:p>
        </w:tc>
        <w:tc>
          <w:tcPr>
            <w:tcW w:w="33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Committee; Chief Financial Officer;</w:t>
            </w:r>
          </w:p>
        </w:tc>
        <w:tc>
          <w:tcPr>
            <w:tcW w:w="17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Chief Operating Officer</w:t>
            </w:r>
          </w:p>
        </w:tc>
        <w:tc>
          <w:tcPr>
            <w:tcW w:w="33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Chief Operating Officer, NIBR</w:t>
            </w:r>
          </w:p>
        </w:tc>
        <w:tc>
          <w:tcPr>
            <w:tcW w:w="17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Dhavalkumar Patel, M.D., Ph.D.</w:t>
            </w:r>
          </w:p>
        </w:tc>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Member of the NIBR Executive</w:t>
            </w:r>
          </w:p>
        </w:tc>
        <w:tc>
          <w:tcPr>
            <w:tcW w:w="330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Member of the NIBR Executive</w:t>
            </w:r>
          </w:p>
        </w:tc>
        <w:tc>
          <w:tcPr>
            <w:tcW w:w="1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American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Committee</w:t>
            </w:r>
          </w:p>
        </w:tc>
        <w:tc>
          <w:tcPr>
            <w:tcW w:w="33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Committee; Head of Research,</w:t>
            </w:r>
          </w:p>
        </w:tc>
        <w:tc>
          <w:tcPr>
            <w:tcW w:w="17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33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Europe, NIBR; Global Head</w:t>
            </w:r>
          </w:p>
        </w:tc>
        <w:tc>
          <w:tcPr>
            <w:tcW w:w="17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33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Autoimmunity, Transplantation, and</w:t>
            </w:r>
          </w:p>
        </w:tc>
        <w:tc>
          <w:tcPr>
            <w:tcW w:w="17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33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Inflammatory, NIBR; Novartis</w:t>
            </w:r>
          </w:p>
        </w:tc>
        <w:tc>
          <w:tcPr>
            <w:tcW w:w="17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33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Campus, Lichstrasse 35, CH-4056,</w:t>
            </w:r>
          </w:p>
        </w:tc>
        <w:tc>
          <w:tcPr>
            <w:tcW w:w="17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33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Basel, Switzerland</w:t>
            </w:r>
          </w:p>
        </w:tc>
        <w:tc>
          <w:tcPr>
            <w:tcW w:w="17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Jeffrey Porter, Ph.D.</w:t>
            </w:r>
          </w:p>
        </w:tc>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Member of the NIBR Executive</w:t>
            </w:r>
          </w:p>
        </w:tc>
        <w:tc>
          <w:tcPr>
            <w:tcW w:w="330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Member of the NIBR Executive</w:t>
            </w:r>
          </w:p>
        </w:tc>
        <w:tc>
          <w:tcPr>
            <w:tcW w:w="1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American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w w:val="95"/>
              </w:rPr>
              <w:t>Committee; Vice President, Global</w:t>
            </w:r>
          </w:p>
        </w:tc>
        <w:tc>
          <w:tcPr>
            <w:tcW w:w="33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Committee; Vice President, Global</w:t>
            </w:r>
          </w:p>
        </w:tc>
        <w:tc>
          <w:tcPr>
            <w:tcW w:w="17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Head of Developmental and</w:t>
            </w:r>
          </w:p>
        </w:tc>
        <w:tc>
          <w:tcPr>
            <w:tcW w:w="33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Head of Developmental and</w:t>
            </w:r>
          </w:p>
        </w:tc>
        <w:tc>
          <w:tcPr>
            <w:tcW w:w="17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Molecular Pathways</w:t>
            </w:r>
          </w:p>
        </w:tc>
        <w:tc>
          <w:tcPr>
            <w:tcW w:w="33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Molecular Pathways</w:t>
            </w:r>
          </w:p>
        </w:tc>
        <w:tc>
          <w:tcPr>
            <w:tcW w:w="17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Mark Sawyer</w:t>
            </w:r>
          </w:p>
        </w:tc>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Member of the NIBR Executive</w:t>
            </w:r>
          </w:p>
        </w:tc>
        <w:tc>
          <w:tcPr>
            <w:tcW w:w="330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Member of the NIBR Executive</w:t>
            </w:r>
          </w:p>
        </w:tc>
        <w:tc>
          <w:tcPr>
            <w:tcW w:w="1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British</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w w:val="93"/>
              </w:rPr>
              <w:t>Committee; Global Head of Human</w:t>
            </w:r>
          </w:p>
        </w:tc>
        <w:tc>
          <w:tcPr>
            <w:tcW w:w="33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Committee; Global Head of Human</w:t>
            </w:r>
          </w:p>
        </w:tc>
        <w:tc>
          <w:tcPr>
            <w:tcW w:w="17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Resources</w:t>
            </w:r>
          </w:p>
        </w:tc>
        <w:tc>
          <w:tcPr>
            <w:tcW w:w="33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Resources</w:t>
            </w:r>
          </w:p>
        </w:tc>
        <w:tc>
          <w:tcPr>
            <w:tcW w:w="17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William R. Sellers, M.D.</w:t>
            </w:r>
          </w:p>
        </w:tc>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Member of the NIBR Executive</w:t>
            </w:r>
          </w:p>
        </w:tc>
        <w:tc>
          <w:tcPr>
            <w:tcW w:w="330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Member of the NIBR Executive</w:t>
            </w:r>
          </w:p>
        </w:tc>
        <w:tc>
          <w:tcPr>
            <w:tcW w:w="1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American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w w:val="95"/>
              </w:rPr>
              <w:t>Committee; Vice President, Global</w:t>
            </w:r>
          </w:p>
        </w:tc>
        <w:tc>
          <w:tcPr>
            <w:tcW w:w="33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Committee; Vice President, Global</w:t>
            </w:r>
          </w:p>
        </w:tc>
        <w:tc>
          <w:tcPr>
            <w:tcW w:w="17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Head of Oncology</w:t>
            </w:r>
          </w:p>
        </w:tc>
        <w:tc>
          <w:tcPr>
            <w:tcW w:w="33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Head of Oncology</w:t>
            </w:r>
          </w:p>
        </w:tc>
        <w:tc>
          <w:tcPr>
            <w:tcW w:w="17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Ann Taylor, M.D.</w:t>
            </w:r>
          </w:p>
        </w:tc>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Member of the NIBR Executive</w:t>
            </w:r>
          </w:p>
        </w:tc>
        <w:tc>
          <w:tcPr>
            <w:tcW w:w="330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Member of the NIBR Executive</w:t>
            </w:r>
          </w:p>
        </w:tc>
        <w:tc>
          <w:tcPr>
            <w:tcW w:w="1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American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w w:val="99"/>
              </w:rPr>
              <w:t>Committee; Head of the Program</w:t>
            </w:r>
          </w:p>
        </w:tc>
        <w:tc>
          <w:tcPr>
            <w:tcW w:w="33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Committee; Head of the Program</w:t>
            </w:r>
          </w:p>
        </w:tc>
        <w:tc>
          <w:tcPr>
            <w:tcW w:w="17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Office</w:t>
            </w:r>
          </w:p>
        </w:tc>
        <w:tc>
          <w:tcPr>
            <w:tcW w:w="33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Office</w:t>
            </w:r>
          </w:p>
        </w:tc>
        <w:tc>
          <w:tcPr>
            <w:tcW w:w="17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808080"/>
            </w:tcBorders>
          </w:tcPr>
          <w:p>
            <w:pPr>
              <w:spacing w:after="0"/>
              <w:rPr>
                <w:sz w:val="24"/>
                <w:szCs w:val="24"/>
                <w:color w:val="auto"/>
              </w:rPr>
            </w:pPr>
          </w:p>
        </w:tc>
        <w:tc>
          <w:tcPr>
            <w:tcW w:w="34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6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7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2"/>
              </w:rPr>
              <w:t>Relationship to Novartis Institutes</w:t>
            </w:r>
          </w:p>
        </w:tc>
        <w:tc>
          <w:tcPr>
            <w:tcW w:w="280" w:type="dxa"/>
            <w:vAlign w:val="bottom"/>
          </w:tcPr>
          <w:p>
            <w:pPr>
              <w:spacing w:after="0"/>
              <w:rPr>
                <w:sz w:val="14"/>
                <w:szCs w:val="14"/>
                <w:color w:val="auto"/>
              </w:rPr>
            </w:pPr>
          </w:p>
        </w:tc>
        <w:tc>
          <w:tcPr>
            <w:tcW w:w="3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Present Principal</w:t>
            </w: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Citizenship</w:t>
            </w:r>
          </w:p>
        </w:tc>
        <w:tc>
          <w:tcPr>
            <w:tcW w:w="0" w:type="dxa"/>
            <w:vAlign w:val="bottom"/>
          </w:tcPr>
          <w:p>
            <w:pPr>
              <w:spacing w:after="0"/>
              <w:rPr>
                <w:sz w:val="1"/>
                <w:szCs w:val="1"/>
                <w:color w:val="auto"/>
              </w:rPr>
            </w:pPr>
          </w:p>
        </w:tc>
      </w:tr>
      <w:tr>
        <w:trPr>
          <w:trHeight w:val="171"/>
        </w:trPr>
        <w:tc>
          <w:tcPr>
            <w:tcW w:w="3780" w:type="dxa"/>
            <w:vAlign w:val="bottom"/>
            <w:gridSpan w:val="3"/>
            <w:vMerge w:val="continue"/>
          </w:tcPr>
          <w:p>
            <w:pPr>
              <w:spacing w:after="0"/>
              <w:rPr>
                <w:sz w:val="14"/>
                <w:szCs w:val="14"/>
                <w:color w:val="auto"/>
              </w:rPr>
            </w:pP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4"/>
              </w:rPr>
              <w:t>for BioMedical Research, Inc.</w:t>
            </w:r>
          </w:p>
        </w:tc>
        <w:tc>
          <w:tcPr>
            <w:tcW w:w="280" w:type="dxa"/>
            <w:vAlign w:val="bottom"/>
          </w:tcPr>
          <w:p>
            <w:pPr>
              <w:spacing w:after="0"/>
              <w:rPr>
                <w:sz w:val="14"/>
                <w:szCs w:val="14"/>
                <w:color w:val="auto"/>
              </w:rPr>
            </w:pPr>
          </w:p>
        </w:tc>
        <w:tc>
          <w:tcPr>
            <w:tcW w:w="3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Occupation</w:t>
            </w: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Joerg Reinhardt, Ph.D.</w:t>
            </w:r>
          </w:p>
        </w:tc>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Chairman of the Board of Directors</w:t>
            </w:r>
          </w:p>
        </w:tc>
        <w:tc>
          <w:tcPr>
            <w:tcW w:w="330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Chairman of the Board of Directors</w:t>
            </w:r>
          </w:p>
        </w:tc>
        <w:tc>
          <w:tcPr>
            <w:tcW w:w="1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German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33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of Novartis AG; Novartis Campus,</w:t>
            </w: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33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Lichstrasse 35, CH-4056, Basel,</w:t>
            </w: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33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Switzerland</w:t>
            </w: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Harry Kirsch</w:t>
            </w:r>
          </w:p>
        </w:tc>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Director</w:t>
            </w:r>
          </w:p>
        </w:tc>
        <w:tc>
          <w:tcPr>
            <w:tcW w:w="330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Member of the Novartis AG</w:t>
            </w:r>
          </w:p>
        </w:tc>
        <w:tc>
          <w:tcPr>
            <w:tcW w:w="1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German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33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Executive Committee; Chief</w:t>
            </w: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33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Financial Officer of Novartis AG;</w:t>
            </w: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4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60"/>
          </w:cols>
          <w:pgMar w:left="240" w:top="134" w:right="19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428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Novartis Campus, Lichstrasse 35,</w:t>
            </w:r>
          </w:p>
        </w:tc>
        <w:tc>
          <w:tcPr>
            <w:tcW w:w="16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428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CH-4056, Basel, Switzerland</w:t>
            </w:r>
          </w:p>
        </w:tc>
        <w:tc>
          <w:tcPr>
            <w:tcW w:w="16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Christi L. Shaw</w:t>
            </w:r>
          </w:p>
        </w:tc>
        <w:tc>
          <w:tcPr>
            <w:tcW w:w="3080" w:type="dxa"/>
            <w:vAlign w:val="bottom"/>
            <w:shd w:val="clear" w:color="auto" w:fill="CCEEFF"/>
          </w:tcPr>
          <w:p>
            <w:pPr>
              <w:ind w:left="1320"/>
              <w:spacing w:after="0" w:line="201" w:lineRule="exact"/>
              <w:rPr>
                <w:sz w:val="20"/>
                <w:szCs w:val="20"/>
                <w:color w:val="auto"/>
              </w:rPr>
            </w:pPr>
            <w:r>
              <w:rPr>
                <w:rFonts w:ascii="Arial" w:cs="Arial" w:eastAsia="Arial" w:hAnsi="Arial"/>
                <w:sz w:val="18"/>
                <w:szCs w:val="18"/>
                <w:color w:val="auto"/>
              </w:rPr>
              <w:t>Director</w:t>
            </w:r>
          </w:p>
        </w:tc>
        <w:tc>
          <w:tcPr>
            <w:tcW w:w="4280" w:type="dxa"/>
            <w:vAlign w:val="bottom"/>
            <w:shd w:val="clear" w:color="auto" w:fill="CCEEFF"/>
          </w:tcPr>
          <w:p>
            <w:pPr>
              <w:ind w:left="1160"/>
              <w:spacing w:after="0" w:line="201" w:lineRule="exact"/>
              <w:rPr>
                <w:sz w:val="20"/>
                <w:szCs w:val="20"/>
                <w:color w:val="auto"/>
              </w:rPr>
            </w:pPr>
            <w:r>
              <w:rPr>
                <w:rFonts w:ascii="Arial" w:cs="Arial" w:eastAsia="Arial" w:hAnsi="Arial"/>
                <w:sz w:val="18"/>
                <w:szCs w:val="18"/>
                <w:color w:val="auto"/>
              </w:rPr>
              <w:t>Novartis US Country Head, President</w:t>
            </w:r>
          </w:p>
        </w:tc>
        <w:tc>
          <w:tcPr>
            <w:tcW w:w="1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American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428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of Novartis Corporation &amp; President</w:t>
            </w:r>
          </w:p>
        </w:tc>
        <w:tc>
          <w:tcPr>
            <w:tcW w:w="16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428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of Novartis Pharmaceuticals</w:t>
            </w:r>
          </w:p>
        </w:tc>
        <w:tc>
          <w:tcPr>
            <w:tcW w:w="16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428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Corporation; One Health Plaza, East</w:t>
            </w:r>
          </w:p>
        </w:tc>
        <w:tc>
          <w:tcPr>
            <w:tcW w:w="16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428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Hanover, NJ 07936</w:t>
            </w:r>
          </w:p>
        </w:tc>
        <w:tc>
          <w:tcPr>
            <w:tcW w:w="16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808080"/>
            </w:tcBorders>
          </w:tcPr>
          <w:p>
            <w:pPr>
              <w:spacing w:after="0"/>
              <w:rPr>
                <w:sz w:val="24"/>
                <w:szCs w:val="24"/>
                <w:color w:val="auto"/>
              </w:rPr>
            </w:pPr>
          </w:p>
        </w:tc>
        <w:tc>
          <w:tcPr>
            <w:tcW w:w="2440" w:type="dxa"/>
            <w:vAlign w:val="bottom"/>
            <w:tcBorders>
              <w:bottom w:val="single" w:sz="8" w:color="808080"/>
            </w:tcBorders>
          </w:tcPr>
          <w:p>
            <w:pPr>
              <w:spacing w:after="0"/>
              <w:rPr>
                <w:sz w:val="24"/>
                <w:szCs w:val="24"/>
                <w:color w:val="auto"/>
              </w:rPr>
            </w:pPr>
          </w:p>
        </w:tc>
        <w:tc>
          <w:tcPr>
            <w:tcW w:w="3080" w:type="dxa"/>
            <w:vAlign w:val="bottom"/>
            <w:tcBorders>
              <w:bottom w:val="single" w:sz="8" w:color="808080"/>
            </w:tcBorders>
          </w:tcPr>
          <w:p>
            <w:pPr>
              <w:spacing w:after="0"/>
              <w:rPr>
                <w:sz w:val="24"/>
                <w:szCs w:val="24"/>
                <w:color w:val="auto"/>
              </w:rPr>
            </w:pPr>
          </w:p>
        </w:tc>
        <w:tc>
          <w:tcPr>
            <w:tcW w:w="428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9920" w:type="dxa"/>
            <w:vAlign w:val="bottom"/>
            <w:tcBorders>
              <w:bottom w:val="single" w:sz="8" w:color="auto"/>
            </w:tcBorders>
          </w:tcPr>
          <w:p>
            <w:pPr>
              <w:ind w:left="446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Joint Filing Agreement dated February 12, 2016 among the Reporting Persons.</w:t>
            </w:r>
          </w:p>
        </w:tc>
        <w:tc>
          <w:tcPr>
            <w:tcW w:w="40" w:type="dxa"/>
            <w:vAlign w:val="bottom"/>
          </w:tcPr>
          <w:p>
            <w:pPr>
              <w:spacing w:after="0"/>
              <w:rPr>
                <w:sz w:val="24"/>
                <w:szCs w:val="24"/>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2</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4"/>
              </w:rPr>
              <w:t>Asset Purchase and Exclusive License Agreement between Arrowhead Research Corporation and Novartis Institutes for Biomedical</w:t>
            </w:r>
          </w:p>
        </w:tc>
        <w:tc>
          <w:tcPr>
            <w:tcW w:w="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4"/>
              </w:rPr>
              <w:t>Research, Inc., dated March 3, 2015 (incorporated by reference to Exhibit 2.1 to the Issuer’s Quarterly Report on Form 10-Q for the</w:t>
            </w:r>
          </w:p>
        </w:tc>
        <w:tc>
          <w:tcPr>
            <w:tcW w:w="4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fiscal quarter ended March 31, 2015, as filed with the Securities and Exchange Commission on May 11, 2015).</w:t>
            </w:r>
          </w:p>
        </w:tc>
        <w:tc>
          <w:tcPr>
            <w:tcW w:w="40" w:type="dxa"/>
            <w:vAlign w:val="bottom"/>
          </w:tcPr>
          <w:p>
            <w:pPr>
              <w:spacing w:after="0"/>
              <w:rPr>
                <w:sz w:val="20"/>
                <w:szCs w:val="20"/>
                <w:color w:val="auto"/>
              </w:rPr>
            </w:pPr>
          </w:p>
        </w:tc>
      </w:tr>
      <w:tr>
        <w:trPr>
          <w:trHeight w:val="348"/>
        </w:trPr>
        <w:tc>
          <w:tcPr>
            <w:tcW w:w="11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99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34" w:right="199" w:bottom="1440" w:gutter="0" w:footer="0" w:header="0"/>
        </w:sectPr>
      </w:pPr>
    </w:p>
    <w:bookmarkStart w:id="9" w:name="page10"/>
    <w:bookmarkEnd w:id="9"/>
    <w:p>
      <w:pPr>
        <w:ind w:left="10720"/>
        <w:spacing w:after="0"/>
        <w:rPr>
          <w:sz w:val="20"/>
          <w:szCs w:val="20"/>
          <w:color w:val="auto"/>
        </w:rPr>
      </w:pPr>
      <w:r>
        <w:rPr>
          <w:rFonts w:ascii="Arial" w:cs="Arial" w:eastAsia="Arial" w:hAnsi="Arial"/>
          <w:sz w:val="17"/>
          <w:szCs w:val="17"/>
          <w:b w:val="1"/>
          <w:bCs w:val="1"/>
          <w:color w:val="auto"/>
        </w:rPr>
        <w:t>Exhibit 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520"/>
        <w:spacing w:after="0" w:line="255" w:lineRule="auto"/>
        <w:rPr>
          <w:sz w:val="20"/>
          <w:szCs w:val="20"/>
          <w:color w:val="auto"/>
        </w:rPr>
      </w:pPr>
      <w:r>
        <w:rPr>
          <w:rFonts w:ascii="Arial" w:cs="Arial" w:eastAsia="Arial" w:hAnsi="Arial"/>
          <w:sz w:val="18"/>
          <w:szCs w:val="18"/>
          <w:color w:val="auto"/>
        </w:rPr>
        <w:t>The undersigned hereby agree that the foregoing statement on Schedule 13D is filed on behalf of each of the undersigned, and any amendments thereto executed by the undersigned shall be filed on behalf of each of the undersigned without the necessity of filing any additional joint filing agreement. The undersigned acknowledge that each is responsible for the timely filing of such statement on Schedule 13D and any amendments thereto, and for the completeness and accuracy of the information concerning it contained therein, but shall not be responsible for the completeness or accuracy of the information concerning the others of the undersigned, except to the extent that it knows or has reason to believe that such information is inaccurate or incomplete. This Joint Filing Agreement may be executed in any number of counterparts, all of which taken together shall constitute one and the same instrument.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executed this Joint Filing Agreement as of February 12, 2016.</w:t>
      </w:r>
    </w:p>
    <w:p>
      <w:pPr>
        <w:spacing w:after="0" w:line="200" w:lineRule="exact"/>
        <w:rPr>
          <w:sz w:val="20"/>
          <w:szCs w:val="20"/>
          <w:color w:val="auto"/>
        </w:rPr>
      </w:pPr>
    </w:p>
    <w:p>
      <w:pPr>
        <w:spacing w:after="0" w:line="237"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NOVARTIS INSTITUTES FOR BIOMEDICAL RESEARCH, INC.</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8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Scott Brown</w:t>
            </w:r>
          </w:p>
        </w:tc>
        <w:tc>
          <w:tcPr>
            <w:tcW w:w="40" w:type="dxa"/>
            <w:vAlign w:val="bottom"/>
          </w:tcPr>
          <w:p>
            <w:pPr>
              <w:spacing w:after="0"/>
              <w:rPr>
                <w:sz w:val="20"/>
                <w:szCs w:val="20"/>
                <w:color w:val="auto"/>
              </w:rPr>
            </w:pPr>
          </w:p>
        </w:tc>
      </w:tr>
      <w:tr>
        <w:trPr>
          <w:trHeight w:val="195"/>
        </w:trPr>
        <w:tc>
          <w:tcPr>
            <w:tcW w:w="62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40"/>
              <w:spacing w:after="0" w:line="195" w:lineRule="exact"/>
              <w:rPr>
                <w:sz w:val="20"/>
                <w:szCs w:val="20"/>
                <w:color w:val="auto"/>
              </w:rPr>
            </w:pPr>
            <w:r>
              <w:rPr>
                <w:rFonts w:ascii="Arial" w:cs="Arial" w:eastAsia="Arial" w:hAnsi="Arial"/>
                <w:sz w:val="18"/>
                <w:szCs w:val="18"/>
                <w:color w:val="auto"/>
              </w:rPr>
              <w:t>Scott Brown</w:t>
            </w:r>
          </w:p>
        </w:tc>
        <w:tc>
          <w:tcPr>
            <w:tcW w:w="40" w:type="dxa"/>
            <w:vAlign w:val="bottom"/>
          </w:tcPr>
          <w:p>
            <w:pPr>
              <w:spacing w:after="0"/>
              <w:rPr>
                <w:sz w:val="16"/>
                <w:szCs w:val="16"/>
                <w:color w:val="auto"/>
              </w:rPr>
            </w:pPr>
          </w:p>
        </w:tc>
      </w:tr>
      <w:tr>
        <w:trPr>
          <w:trHeight w:val="230"/>
        </w:trPr>
        <w:tc>
          <w:tcPr>
            <w:tcW w:w="62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40"/>
              <w:spacing w:after="0"/>
              <w:rPr>
                <w:sz w:val="20"/>
                <w:szCs w:val="20"/>
                <w:color w:val="auto"/>
              </w:rPr>
            </w:pPr>
            <w:r>
              <w:rPr>
                <w:rFonts w:ascii="Arial" w:cs="Arial" w:eastAsia="Arial" w:hAnsi="Arial"/>
                <w:sz w:val="18"/>
                <w:szCs w:val="18"/>
                <w:color w:val="auto"/>
              </w:rPr>
              <w:t>Vice President and General Counsel</w:t>
            </w:r>
          </w:p>
        </w:tc>
        <w:tc>
          <w:tcPr>
            <w:tcW w:w="40" w:type="dxa"/>
            <w:vAlign w:val="bottom"/>
          </w:tcPr>
          <w:p>
            <w:pPr>
              <w:spacing w:after="0"/>
              <w:rPr>
                <w:sz w:val="20"/>
                <w:szCs w:val="20"/>
                <w:color w:val="auto"/>
              </w:rPr>
            </w:pPr>
          </w:p>
        </w:tc>
      </w:tr>
      <w:tr>
        <w:trPr>
          <w:trHeight w:val="648"/>
        </w:trPr>
        <w:tc>
          <w:tcPr>
            <w:tcW w:w="11420" w:type="dxa"/>
            <w:vAlign w:val="bottom"/>
            <w:gridSpan w:val="3"/>
          </w:tcPr>
          <w:p>
            <w:pPr>
              <w:ind w:left="5820"/>
              <w:spacing w:after="0"/>
              <w:rPr>
                <w:sz w:val="20"/>
                <w:szCs w:val="20"/>
                <w:color w:val="auto"/>
              </w:rPr>
            </w:pPr>
            <w:r>
              <w:rPr>
                <w:rFonts w:ascii="Arial" w:cs="Arial" w:eastAsia="Arial" w:hAnsi="Arial"/>
                <w:sz w:val="18"/>
                <w:szCs w:val="18"/>
                <w:b w:val="1"/>
                <w:bCs w:val="1"/>
                <w:color w:val="auto"/>
              </w:rPr>
              <w:t>NOVARTIS AG</w:t>
            </w:r>
          </w:p>
        </w:tc>
        <w:tc>
          <w:tcPr>
            <w:tcW w:w="40" w:type="dxa"/>
            <w:vAlign w:val="bottom"/>
          </w:tcPr>
          <w:p>
            <w:pPr>
              <w:spacing w:after="0"/>
              <w:rPr>
                <w:sz w:val="24"/>
                <w:szCs w:val="24"/>
                <w:color w:val="auto"/>
              </w:rPr>
            </w:pPr>
          </w:p>
        </w:tc>
      </w:tr>
      <w:tr>
        <w:trPr>
          <w:trHeight w:val="648"/>
        </w:trPr>
        <w:tc>
          <w:tcPr>
            <w:tcW w:w="6280" w:type="dxa"/>
            <w:vAlign w:val="bottom"/>
          </w:tcPr>
          <w:p>
            <w:pPr>
              <w:ind w:left="58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Christian Rehm</w:t>
            </w:r>
          </w:p>
        </w:tc>
        <w:tc>
          <w:tcPr>
            <w:tcW w:w="40" w:type="dxa"/>
            <w:vAlign w:val="bottom"/>
          </w:tcPr>
          <w:p>
            <w:pPr>
              <w:spacing w:after="0"/>
              <w:rPr>
                <w:sz w:val="24"/>
                <w:szCs w:val="24"/>
                <w:color w:val="auto"/>
              </w:rPr>
            </w:pPr>
          </w:p>
        </w:tc>
      </w:tr>
      <w:tr>
        <w:trPr>
          <w:trHeight w:val="195"/>
        </w:trPr>
        <w:tc>
          <w:tcPr>
            <w:tcW w:w="62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40"/>
              <w:spacing w:after="0" w:line="195" w:lineRule="exact"/>
              <w:rPr>
                <w:sz w:val="20"/>
                <w:szCs w:val="20"/>
                <w:color w:val="auto"/>
              </w:rPr>
            </w:pPr>
            <w:r>
              <w:rPr>
                <w:rFonts w:ascii="Arial" w:cs="Arial" w:eastAsia="Arial" w:hAnsi="Arial"/>
                <w:sz w:val="18"/>
                <w:szCs w:val="18"/>
                <w:color w:val="auto"/>
              </w:rPr>
              <w:t>Christian Rehm</w:t>
            </w:r>
          </w:p>
        </w:tc>
        <w:tc>
          <w:tcPr>
            <w:tcW w:w="40" w:type="dxa"/>
            <w:vAlign w:val="bottom"/>
          </w:tcPr>
          <w:p>
            <w:pPr>
              <w:spacing w:after="0"/>
              <w:rPr>
                <w:sz w:val="16"/>
                <w:szCs w:val="16"/>
                <w:color w:val="auto"/>
              </w:rPr>
            </w:pPr>
          </w:p>
        </w:tc>
      </w:tr>
      <w:tr>
        <w:trPr>
          <w:trHeight w:val="230"/>
        </w:trPr>
        <w:tc>
          <w:tcPr>
            <w:tcW w:w="62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40"/>
              <w:spacing w:after="0"/>
              <w:rPr>
                <w:sz w:val="20"/>
                <w:szCs w:val="20"/>
                <w:color w:val="auto"/>
              </w:rPr>
            </w:pPr>
            <w:r>
              <w:rPr>
                <w:rFonts w:ascii="Arial" w:cs="Arial" w:eastAsia="Arial" w:hAnsi="Arial"/>
                <w:sz w:val="18"/>
                <w:szCs w:val="18"/>
                <w:color w:val="auto"/>
              </w:rPr>
              <w:t>Authorized Signatory</w:t>
            </w:r>
          </w:p>
        </w:tc>
        <w:tc>
          <w:tcPr>
            <w:tcW w:w="40" w:type="dxa"/>
            <w:vAlign w:val="bottom"/>
          </w:tcPr>
          <w:p>
            <w:pPr>
              <w:spacing w:after="0"/>
              <w:rPr>
                <w:sz w:val="20"/>
                <w:szCs w:val="20"/>
                <w:color w:val="auto"/>
              </w:rPr>
            </w:pPr>
          </w:p>
        </w:tc>
      </w:tr>
      <w:tr>
        <w:trPr>
          <w:trHeight w:val="432"/>
        </w:trPr>
        <w:tc>
          <w:tcPr>
            <w:tcW w:w="6280" w:type="dxa"/>
            <w:vAlign w:val="bottom"/>
          </w:tcPr>
          <w:p>
            <w:pPr>
              <w:ind w:left="58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Felix Senn</w:t>
            </w:r>
          </w:p>
        </w:tc>
        <w:tc>
          <w:tcPr>
            <w:tcW w:w="40" w:type="dxa"/>
            <w:vAlign w:val="bottom"/>
          </w:tcPr>
          <w:p>
            <w:pPr>
              <w:spacing w:after="0"/>
              <w:rPr>
                <w:sz w:val="24"/>
                <w:szCs w:val="24"/>
                <w:color w:val="auto"/>
              </w:rPr>
            </w:pPr>
          </w:p>
        </w:tc>
      </w:tr>
      <w:tr>
        <w:trPr>
          <w:trHeight w:val="195"/>
        </w:trPr>
        <w:tc>
          <w:tcPr>
            <w:tcW w:w="62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40"/>
              <w:spacing w:after="0" w:line="195" w:lineRule="exact"/>
              <w:rPr>
                <w:sz w:val="20"/>
                <w:szCs w:val="20"/>
                <w:color w:val="auto"/>
              </w:rPr>
            </w:pPr>
            <w:r>
              <w:rPr>
                <w:rFonts w:ascii="Arial" w:cs="Arial" w:eastAsia="Arial" w:hAnsi="Arial"/>
                <w:sz w:val="18"/>
                <w:szCs w:val="18"/>
                <w:color w:val="auto"/>
              </w:rPr>
              <w:t>Felix Senn</w:t>
            </w:r>
          </w:p>
        </w:tc>
        <w:tc>
          <w:tcPr>
            <w:tcW w:w="40" w:type="dxa"/>
            <w:vAlign w:val="bottom"/>
          </w:tcPr>
          <w:p>
            <w:pPr>
              <w:spacing w:after="0"/>
              <w:rPr>
                <w:sz w:val="16"/>
                <w:szCs w:val="16"/>
                <w:color w:val="auto"/>
              </w:rPr>
            </w:pPr>
          </w:p>
        </w:tc>
      </w:tr>
      <w:tr>
        <w:trPr>
          <w:trHeight w:val="230"/>
        </w:trPr>
        <w:tc>
          <w:tcPr>
            <w:tcW w:w="62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40"/>
              <w:spacing w:after="0"/>
              <w:rPr>
                <w:sz w:val="20"/>
                <w:szCs w:val="20"/>
                <w:color w:val="auto"/>
              </w:rPr>
            </w:pPr>
            <w:r>
              <w:rPr>
                <w:rFonts w:ascii="Arial" w:cs="Arial" w:eastAsia="Arial" w:hAnsi="Arial"/>
                <w:sz w:val="18"/>
                <w:szCs w:val="18"/>
                <w:color w:val="auto"/>
              </w:rPr>
              <w:t>Authorized Signatory</w:t>
            </w:r>
          </w:p>
        </w:tc>
        <w:tc>
          <w:tcPr>
            <w:tcW w:w="40" w:type="dxa"/>
            <w:vAlign w:val="bottom"/>
          </w:tcPr>
          <w:p>
            <w:pPr>
              <w:spacing w:after="0"/>
              <w:rPr>
                <w:sz w:val="20"/>
                <w:szCs w:val="20"/>
                <w:color w:val="auto"/>
              </w:rPr>
            </w:pPr>
          </w:p>
        </w:tc>
      </w:tr>
      <w:tr>
        <w:trPr>
          <w:trHeight w:val="348"/>
        </w:trPr>
        <w:tc>
          <w:tcPr>
            <w:tcW w:w="628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45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upperLetter"/>
      <w:start w:val="1"/>
    </w:lvl>
    <w:lvl w:ilvl="1">
      <w:lvlJc w:val="left"/>
      <w:lvlText w:val="(%2)"/>
      <w:numFmt w:val="decimal"/>
      <w:start w:val="617"/>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lvl w:ilvl="1">
      <w:lvlJc w:val="left"/>
      <w:lvlText w:val="(%2)"/>
      <w:numFmt w:val="lowerLetter"/>
      <w:start w:val="1"/>
    </w:lvl>
  </w:abstractNum>
  <w:abstractNum w:abstractNumId="3">
    <w:nsid w:val="1F16E9E8"/>
    <w:multiLevelType w:val="hybridMultilevel"/>
    <w:lvl w:ilvl="0">
      <w:lvlJc w:val="left"/>
      <w:lvlText w:val="%1."/>
      <w:numFmt w:val="decimal"/>
      <w:start w:val="7"/>
    </w:lvl>
  </w:abstractNum>
  <w:abstractNum w:abstractNumId="4">
    <w:nsid w:val="1190CDE7"/>
    <w:multiLevelType w:val="hybridMultilevel"/>
    <w:lvl w:ilvl="0">
      <w:lvlJc w:val="left"/>
      <w:lvlText w:val="%1."/>
      <w:numFmt w:val="decimal"/>
      <w:start w:val="11"/>
    </w:lvl>
  </w:abstractNum>
  <w:abstractNum w:abstractNumId="5">
    <w:nsid w:val="66EF438D"/>
    <w:multiLevelType w:val="hybridMultilevel"/>
    <w:lvl w:ilvl="0">
      <w:lvlJc w:val="left"/>
      <w:lvlText w:val="*"/>
      <w:numFmt w:val="bullet"/>
      <w:start w:val="1"/>
    </w:lvl>
    <w:lvl w:ilvl="1">
      <w:lvlJc w:val="left"/>
      <w:lvlText w:val="%2."/>
      <w:numFmt w:val="decimal"/>
      <w:start w:val="13"/>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2"/>
    </w:lvl>
    <w:lvl w:ilvl="1">
      <w:lvlJc w:val="left"/>
      <w:lvlText w:val="(%2)"/>
      <w:numFmt w:val="lowerLetter"/>
      <w:start w:val="1"/>
    </w:lvl>
  </w:abstractNum>
  <w:abstractNum w:abstractNumId="8">
    <w:nsid w:val="109CF92E"/>
    <w:multiLevelType w:val="hybridMultilevel"/>
    <w:lvl w:ilvl="0">
      <w:lvlJc w:val="left"/>
      <w:lvlText w:val="%1."/>
      <w:numFmt w:val="decimal"/>
      <w:start w:val="7"/>
    </w:lvl>
  </w:abstractNum>
  <w:abstractNum w:abstractNumId="9">
    <w:nsid w:val="DED7263"/>
    <w:multiLevelType w:val="hybridMultilevel"/>
    <w:lvl w:ilvl="0">
      <w:lvlJc w:val="left"/>
      <w:lvlText w:val="%1."/>
      <w:numFmt w:val="decimal"/>
      <w:start w:val="11"/>
    </w:lvl>
  </w:abstractNum>
  <w:abstractNum w:abstractNumId="10">
    <w:nsid w:val="7FDCC233"/>
    <w:multiLevelType w:val="hybridMultilevel"/>
    <w:lvl w:ilvl="0">
      <w:lvlJc w:val="left"/>
      <w:lvlText w:val="*"/>
      <w:numFmt w:val="bullet"/>
      <w:start w:val="1"/>
    </w:lvl>
    <w:lvl w:ilvl="1">
      <w:lvlJc w:val="left"/>
      <w:lvlText w:val="%2."/>
      <w:numFmt w:val="decimal"/>
      <w:start w:val="13"/>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lowerLetter"/>
      <w:start w:val="6"/>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Roman"/>
      <w:start w:val="1"/>
    </w:lvl>
  </w:abstractNum>
  <w:abstractNum w:abstractNumId="15">
    <w:nsid w:val="25E45D32"/>
    <w:multiLevelType w:val="hybridMultilevel"/>
    <w:lvl w:ilvl="0">
      <w:lvlJc w:val="left"/>
      <w:lvlText w:val="%1"/>
      <w:numFmt w:val="lowerLetter"/>
      <w:start w:val="1"/>
    </w:lvl>
    <w:lvl w:ilvl="1">
      <w:lvlJc w:val="left"/>
      <w:lvlText w:val="(%2)"/>
      <w:numFmt w:val="lowerLetter"/>
      <w:start w:val="3"/>
    </w:lvl>
  </w:abstractNum>
  <w:abstractNum w:abstractNumId="16">
    <w:nsid w:val="519B500D"/>
    <w:multiLevelType w:val="hybridMultilevel"/>
    <w:lvl w:ilvl="0">
      <w:lvlJc w:val="left"/>
      <w:lvlText w:val="(%1)"/>
      <w:numFmt w:val="lowerLetter"/>
      <w:start w:val="35"/>
    </w:lvl>
    <w:lvl w:ilvl="1">
      <w:lvlJc w:val="left"/>
      <w:lvlText w:val="(%2)"/>
      <w:numFmt w:val="lowerLetter"/>
      <w:start w:val="4"/>
    </w:lvl>
  </w:abstractNum>
  <w:abstractNum w:abstractNumId="17">
    <w:nsid w:val="431BD7B7"/>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2019-12-16T22:01:55Z</dcterms:created>
  <dcterms:modified xsi:type="dcterms:W3CDTF">2019-12-16T22:01:55Z</dcterms:modified>
</cp:coreProperties>
</file>