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64135</wp:posOffset>
            </wp:positionV>
            <wp:extent cx="1628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77470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line="233" w:lineRule="auto"/>
        <w:rPr>
          <w:sz w:val="20"/>
          <w:szCs w:val="20"/>
          <w:color w:val="auto"/>
        </w:rPr>
      </w:pPr>
      <w:r>
        <w:rPr>
          <w:rFonts w:ascii="Arial" w:cs="Arial" w:eastAsia="Arial" w:hAnsi="Arial"/>
          <w:sz w:val="22"/>
          <w:szCs w:val="22"/>
          <w:b w:val="1"/>
          <w:bCs w:val="1"/>
          <w:color w:val="auto"/>
        </w:rPr>
        <w:t>THE SECURITIES EXCHANGE ACT OF 1934</w:t>
      </w:r>
    </w:p>
    <w:p>
      <w:pPr>
        <w:jc w:val="center"/>
        <w:spacing w:after="0" w:line="231" w:lineRule="auto"/>
        <w:rPr>
          <w:sz w:val="20"/>
          <w:szCs w:val="20"/>
          <w:color w:val="auto"/>
        </w:rPr>
      </w:pPr>
      <w:r>
        <w:rPr>
          <w:rFonts w:ascii="Arial" w:cs="Arial" w:eastAsia="Arial" w:hAnsi="Arial"/>
          <w:sz w:val="22"/>
          <w:szCs w:val="22"/>
          <w:b w:val="1"/>
          <w:bCs w:val="1"/>
          <w:color w:val="auto"/>
        </w:rPr>
        <w:t>August 7, 2023</w:t>
      </w:r>
    </w:p>
    <w:p>
      <w:pPr>
        <w:jc w:val="center"/>
        <w:spacing w:after="0"/>
        <w:rPr>
          <w:sz w:val="20"/>
          <w:szCs w:val="20"/>
          <w:color w:val="auto"/>
        </w:rPr>
      </w:pPr>
      <w:r>
        <w:rPr>
          <w:rFonts w:ascii="Arial" w:cs="Arial" w:eastAsia="Arial" w:hAnsi="Arial"/>
          <w:sz w:val="22"/>
          <w:szCs w:val="22"/>
          <w:b w:val="1"/>
          <w:bCs w:val="1"/>
          <w:color w:val="auto"/>
        </w:rPr>
        <w:t>Date of Report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59690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Arrowhead Pharmaceuticals,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55880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0" w:lineRule="exact"/>
        <w:rPr>
          <w:sz w:val="24"/>
          <w:szCs w:val="24"/>
          <w:color w:val="auto"/>
        </w:rPr>
      </w:pPr>
    </w:p>
    <w:tbl>
      <w:tblPr>
        <w:tblLayout w:type="fixed"/>
        <w:tblInd w:w="1100" w:type="dxa"/>
        <w:tblCellMar>
          <w:top w:w="0" w:type="dxa"/>
          <w:left w:w="0" w:type="dxa"/>
          <w:bottom w:w="0" w:type="dxa"/>
          <w:right w:w="0" w:type="dxa"/>
        </w:tblCellMar>
      </w:tblPr>
      <w:tr>
        <w:trPr>
          <w:trHeight w:val="230"/>
        </w:trPr>
        <w:tc>
          <w:tcPr>
            <w:tcW w:w="2040" w:type="dxa"/>
            <w:vAlign w:val="bottom"/>
          </w:tcPr>
          <w:p>
            <w:pPr>
              <w:jc w:val="center"/>
              <w:ind w:right="462"/>
              <w:spacing w:after="0"/>
              <w:rPr>
                <w:sz w:val="20"/>
                <w:szCs w:val="20"/>
                <w:color w:val="auto"/>
              </w:rPr>
            </w:pPr>
            <w:r>
              <w:rPr>
                <w:rFonts w:ascii="Arial" w:cs="Arial" w:eastAsia="Arial" w:hAnsi="Arial"/>
                <w:sz w:val="18"/>
                <w:szCs w:val="18"/>
                <w:color w:val="auto"/>
                <w:w w:val="92"/>
              </w:rPr>
              <w:t>Delaware</w:t>
            </w:r>
          </w:p>
        </w:tc>
        <w:tc>
          <w:tcPr>
            <w:tcW w:w="3760" w:type="dxa"/>
            <w:vAlign w:val="bottom"/>
            <w:gridSpan w:val="2"/>
          </w:tcPr>
          <w:p>
            <w:pPr>
              <w:jc w:val="right"/>
              <w:ind w:right="808"/>
              <w:spacing w:after="0"/>
              <w:rPr>
                <w:sz w:val="20"/>
                <w:szCs w:val="20"/>
                <w:color w:val="auto"/>
              </w:rPr>
            </w:pPr>
            <w:r>
              <w:rPr>
                <w:rFonts w:ascii="Arial" w:cs="Arial" w:eastAsia="Arial" w:hAnsi="Arial"/>
                <w:sz w:val="18"/>
                <w:szCs w:val="18"/>
                <w:color w:val="auto"/>
              </w:rPr>
              <w:t>001-38042</w:t>
            </w:r>
          </w:p>
        </w:tc>
        <w:tc>
          <w:tcPr>
            <w:tcW w:w="1320" w:type="dxa"/>
            <w:vAlign w:val="bottom"/>
          </w:tcPr>
          <w:p>
            <w:pPr>
              <w:spacing w:after="0"/>
              <w:rPr>
                <w:sz w:val="20"/>
                <w:szCs w:val="20"/>
                <w:color w:val="auto"/>
              </w:rPr>
            </w:pPr>
          </w:p>
        </w:tc>
        <w:tc>
          <w:tcPr>
            <w:tcW w:w="1720" w:type="dxa"/>
            <w:vAlign w:val="bottom"/>
          </w:tcPr>
          <w:p>
            <w:pPr>
              <w:jc w:val="center"/>
              <w:ind w:left="542"/>
              <w:spacing w:after="0"/>
              <w:rPr>
                <w:sz w:val="20"/>
                <w:szCs w:val="20"/>
                <w:color w:val="auto"/>
              </w:rPr>
            </w:pPr>
            <w:r>
              <w:rPr>
                <w:rFonts w:ascii="Arial" w:cs="Arial" w:eastAsia="Arial" w:hAnsi="Arial"/>
                <w:sz w:val="18"/>
                <w:szCs w:val="18"/>
                <w:color w:val="auto"/>
                <w:w w:val="89"/>
              </w:rPr>
              <w:t>46-0408024</w:t>
            </w:r>
          </w:p>
        </w:tc>
      </w:tr>
      <w:tr>
        <w:trPr>
          <w:trHeight w:val="197"/>
        </w:trPr>
        <w:tc>
          <w:tcPr>
            <w:tcW w:w="2040" w:type="dxa"/>
            <w:vAlign w:val="bottom"/>
          </w:tcPr>
          <w:p>
            <w:pPr>
              <w:jc w:val="center"/>
              <w:ind w:right="462"/>
              <w:spacing w:after="0"/>
              <w:rPr>
                <w:sz w:val="20"/>
                <w:szCs w:val="20"/>
                <w:color w:val="auto"/>
              </w:rPr>
            </w:pPr>
            <w:r>
              <w:rPr>
                <w:rFonts w:ascii="Arial" w:cs="Arial" w:eastAsia="Arial" w:hAnsi="Arial"/>
                <w:sz w:val="14"/>
                <w:szCs w:val="14"/>
                <w:color w:val="auto"/>
                <w:w w:val="94"/>
              </w:rPr>
              <w:t>(State or other jurisdiction</w:t>
            </w:r>
          </w:p>
        </w:tc>
        <w:tc>
          <w:tcPr>
            <w:tcW w:w="1200" w:type="dxa"/>
            <w:vAlign w:val="bottom"/>
          </w:tcPr>
          <w:p>
            <w:pPr>
              <w:spacing w:after="0"/>
              <w:rPr>
                <w:sz w:val="17"/>
                <w:szCs w:val="17"/>
                <w:color w:val="auto"/>
              </w:rPr>
            </w:pPr>
          </w:p>
        </w:tc>
        <w:tc>
          <w:tcPr>
            <w:tcW w:w="3880" w:type="dxa"/>
            <w:vAlign w:val="bottom"/>
            <w:gridSpan w:val="2"/>
          </w:tcPr>
          <w:p>
            <w:pPr>
              <w:jc w:val="center"/>
              <w:ind w:right="1300"/>
              <w:spacing w:after="0"/>
              <w:rPr>
                <w:sz w:val="20"/>
                <w:szCs w:val="20"/>
                <w:color w:val="auto"/>
              </w:rPr>
            </w:pPr>
            <w:r>
              <w:rPr>
                <w:rFonts w:ascii="Arial" w:cs="Arial" w:eastAsia="Arial" w:hAnsi="Arial"/>
                <w:sz w:val="14"/>
                <w:szCs w:val="14"/>
                <w:color w:val="auto"/>
                <w:w w:val="95"/>
              </w:rPr>
              <w:t>(Commission</w:t>
            </w:r>
          </w:p>
        </w:tc>
        <w:tc>
          <w:tcPr>
            <w:tcW w:w="1720" w:type="dxa"/>
            <w:vAlign w:val="bottom"/>
          </w:tcPr>
          <w:p>
            <w:pPr>
              <w:jc w:val="center"/>
              <w:ind w:left="562"/>
              <w:spacing w:after="0"/>
              <w:rPr>
                <w:sz w:val="20"/>
                <w:szCs w:val="20"/>
                <w:color w:val="auto"/>
              </w:rPr>
            </w:pPr>
            <w:r>
              <w:rPr>
                <w:rFonts w:ascii="Arial" w:cs="Arial" w:eastAsia="Arial" w:hAnsi="Arial"/>
                <w:sz w:val="14"/>
                <w:szCs w:val="14"/>
                <w:color w:val="auto"/>
                <w:w w:val="96"/>
              </w:rPr>
              <w:t>(IRS Employer</w:t>
            </w:r>
          </w:p>
        </w:tc>
      </w:tr>
      <w:tr>
        <w:trPr>
          <w:trHeight w:val="182"/>
        </w:trPr>
        <w:tc>
          <w:tcPr>
            <w:tcW w:w="2040" w:type="dxa"/>
            <w:vAlign w:val="bottom"/>
          </w:tcPr>
          <w:p>
            <w:pPr>
              <w:jc w:val="center"/>
              <w:ind w:right="462"/>
              <w:spacing w:after="0"/>
              <w:rPr>
                <w:sz w:val="20"/>
                <w:szCs w:val="20"/>
                <w:color w:val="auto"/>
              </w:rPr>
            </w:pPr>
            <w:r>
              <w:rPr>
                <w:rFonts w:ascii="Arial" w:cs="Arial" w:eastAsia="Arial" w:hAnsi="Arial"/>
                <w:sz w:val="14"/>
                <w:szCs w:val="14"/>
                <w:color w:val="auto"/>
                <w:w w:val="96"/>
              </w:rPr>
              <w:t>of incorporation)</w:t>
            </w:r>
          </w:p>
        </w:tc>
        <w:tc>
          <w:tcPr>
            <w:tcW w:w="1200" w:type="dxa"/>
            <w:vAlign w:val="bottom"/>
          </w:tcPr>
          <w:p>
            <w:pPr>
              <w:spacing w:after="0"/>
              <w:rPr>
                <w:sz w:val="15"/>
                <w:szCs w:val="15"/>
                <w:color w:val="auto"/>
              </w:rPr>
            </w:pPr>
          </w:p>
        </w:tc>
        <w:tc>
          <w:tcPr>
            <w:tcW w:w="3880" w:type="dxa"/>
            <w:vAlign w:val="bottom"/>
            <w:gridSpan w:val="2"/>
          </w:tcPr>
          <w:p>
            <w:pPr>
              <w:jc w:val="center"/>
              <w:ind w:right="1300"/>
              <w:spacing w:after="0"/>
              <w:rPr>
                <w:sz w:val="20"/>
                <w:szCs w:val="20"/>
                <w:color w:val="auto"/>
              </w:rPr>
            </w:pPr>
            <w:r>
              <w:rPr>
                <w:rFonts w:ascii="Arial" w:cs="Arial" w:eastAsia="Arial" w:hAnsi="Arial"/>
                <w:sz w:val="14"/>
                <w:szCs w:val="14"/>
                <w:color w:val="auto"/>
                <w:w w:val="96"/>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color w:val="auto"/>
                <w:w w:val="99"/>
              </w:rPr>
              <w:t>Identification No.)</w:t>
            </w:r>
          </w:p>
        </w:tc>
      </w:tr>
      <w:tr>
        <w:trPr>
          <w:trHeight w:val="300"/>
        </w:trPr>
        <w:tc>
          <w:tcPr>
            <w:tcW w:w="2040" w:type="dxa"/>
            <w:vAlign w:val="bottom"/>
          </w:tcPr>
          <w:p>
            <w:pPr>
              <w:spacing w:after="0"/>
              <w:rPr>
                <w:sz w:val="24"/>
                <w:szCs w:val="24"/>
                <w:color w:val="auto"/>
              </w:rPr>
            </w:pPr>
          </w:p>
        </w:tc>
        <w:tc>
          <w:tcPr>
            <w:tcW w:w="50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177 E. Colorado Blvd, Suite 700, Pasadena, CA 91105</w:t>
            </w:r>
          </w:p>
        </w:tc>
        <w:tc>
          <w:tcPr>
            <w:tcW w:w="1720" w:type="dxa"/>
            <w:vAlign w:val="bottom"/>
          </w:tcPr>
          <w:p>
            <w:pPr>
              <w:spacing w:after="0"/>
              <w:rPr>
                <w:sz w:val="24"/>
                <w:szCs w:val="24"/>
                <w:color w:val="auto"/>
              </w:rPr>
            </w:pPr>
          </w:p>
        </w:tc>
      </w:tr>
      <w:tr>
        <w:trPr>
          <w:trHeight w:val="170"/>
        </w:trPr>
        <w:tc>
          <w:tcPr>
            <w:tcW w:w="2040" w:type="dxa"/>
            <w:vAlign w:val="bottom"/>
          </w:tcPr>
          <w:p>
            <w:pPr>
              <w:spacing w:after="0"/>
              <w:rPr>
                <w:sz w:val="14"/>
                <w:szCs w:val="14"/>
                <w:color w:val="auto"/>
              </w:rPr>
            </w:pPr>
          </w:p>
        </w:tc>
        <w:tc>
          <w:tcPr>
            <w:tcW w:w="5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720" w:type="dxa"/>
            <w:vAlign w:val="bottom"/>
          </w:tcPr>
          <w:p>
            <w:pPr>
              <w:spacing w:after="0"/>
              <w:rPr>
                <w:sz w:val="14"/>
                <w:szCs w:val="14"/>
                <w:color w:val="auto"/>
              </w:rPr>
            </w:pPr>
          </w:p>
        </w:tc>
      </w:tr>
      <w:tr>
        <w:trPr>
          <w:trHeight w:val="194"/>
        </w:trPr>
        <w:tc>
          <w:tcPr>
            <w:tcW w:w="2040" w:type="dxa"/>
            <w:vAlign w:val="bottom"/>
          </w:tcPr>
          <w:p>
            <w:pPr>
              <w:spacing w:after="0"/>
              <w:rPr>
                <w:sz w:val="16"/>
                <w:szCs w:val="16"/>
                <w:color w:val="auto"/>
              </w:rPr>
            </w:pPr>
          </w:p>
        </w:tc>
        <w:tc>
          <w:tcPr>
            <w:tcW w:w="3760" w:type="dxa"/>
            <w:vAlign w:val="bottom"/>
            <w:gridSpan w:val="2"/>
          </w:tcPr>
          <w:p>
            <w:pPr>
              <w:jc w:val="right"/>
              <w:ind w:right="648"/>
              <w:spacing w:after="0" w:line="195" w:lineRule="exact"/>
              <w:rPr>
                <w:sz w:val="20"/>
                <w:szCs w:val="20"/>
                <w:color w:val="auto"/>
              </w:rPr>
            </w:pPr>
            <w:r>
              <w:rPr>
                <w:rFonts w:ascii="Arial" w:cs="Arial" w:eastAsia="Arial" w:hAnsi="Arial"/>
                <w:sz w:val="18"/>
                <w:szCs w:val="18"/>
                <w:color w:val="auto"/>
              </w:rPr>
              <w:t>(626) 304-3400</w:t>
            </w:r>
          </w:p>
        </w:tc>
        <w:tc>
          <w:tcPr>
            <w:tcW w:w="13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6"/>
        </w:trPr>
        <w:tc>
          <w:tcPr>
            <w:tcW w:w="2040" w:type="dxa"/>
            <w:vAlign w:val="bottom"/>
          </w:tcPr>
          <w:p>
            <w:pPr>
              <w:spacing w:after="0"/>
              <w:rPr>
                <w:sz w:val="16"/>
                <w:szCs w:val="16"/>
                <w:color w:val="auto"/>
              </w:rPr>
            </w:pPr>
          </w:p>
        </w:tc>
        <w:tc>
          <w:tcPr>
            <w:tcW w:w="5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20" w:type="dxa"/>
            <w:vAlign w:val="bottom"/>
          </w:tcPr>
          <w:p>
            <w:pPr>
              <w:spacing w:after="0"/>
              <w:rPr>
                <w:sz w:val="16"/>
                <w:szCs w:val="16"/>
                <w:color w:val="auto"/>
              </w:rPr>
            </w:pPr>
          </w:p>
        </w:tc>
      </w:tr>
      <w:tr>
        <w:trPr>
          <w:trHeight w:val="93"/>
        </w:trPr>
        <w:tc>
          <w:tcPr>
            <w:tcW w:w="2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720" w:type="dxa"/>
            <w:vAlign w:val="bottom"/>
          </w:tcPr>
          <w:p>
            <w:pPr>
              <w:spacing w:after="0"/>
              <w:rPr>
                <w:sz w:val="8"/>
                <w:szCs w:val="8"/>
                <w:color w:val="auto"/>
              </w:rPr>
            </w:pPr>
          </w:p>
        </w:tc>
      </w:tr>
    </w:tbl>
    <w:p>
      <w:pPr>
        <w:spacing w:after="0" w:line="256"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51"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1"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 (c)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3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20" w:type="dxa"/>
            <w:vAlign w:val="bottom"/>
          </w:tcPr>
          <w:p>
            <w:pPr>
              <w:spacing w:after="0"/>
              <w:rPr>
                <w:sz w:val="16"/>
                <w:szCs w:val="16"/>
                <w:color w:val="auto"/>
              </w:rPr>
            </w:pPr>
          </w:p>
        </w:tc>
      </w:tr>
      <w:tr>
        <w:trPr>
          <w:trHeight w:val="216"/>
        </w:trPr>
        <w:tc>
          <w:tcPr>
            <w:tcW w:w="3720" w:type="dxa"/>
            <w:vAlign w:val="bottom"/>
          </w:tcPr>
          <w:p>
            <w:pPr>
              <w:jc w:val="center"/>
              <w:ind w:left="688"/>
              <w:spacing w:after="0"/>
              <w:rPr>
                <w:sz w:val="20"/>
                <w:szCs w:val="20"/>
                <w:color w:val="auto"/>
              </w:rPr>
            </w:pPr>
            <w:r>
              <w:rPr>
                <w:rFonts w:ascii="Arial" w:cs="Arial" w:eastAsia="Arial" w:hAnsi="Arial"/>
                <w:sz w:val="14"/>
                <w:szCs w:val="14"/>
                <w:b w:val="1"/>
                <w:bCs w:val="1"/>
                <w:color w:val="auto"/>
                <w:w w:val="89"/>
              </w:rPr>
              <w:t>Title of each class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Pr>
          <w:p>
            <w:pPr>
              <w:jc w:val="center"/>
              <w:ind w:right="6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184"/>
        </w:trPr>
        <w:tc>
          <w:tcPr>
            <w:tcW w:w="3720" w:type="dxa"/>
            <w:vAlign w:val="bottom"/>
          </w:tcPr>
          <w:p>
            <w:pPr>
              <w:jc w:val="center"/>
              <w:ind w:left="688"/>
              <w:spacing w:after="0"/>
              <w:rPr>
                <w:sz w:val="20"/>
                <w:szCs w:val="20"/>
                <w:color w:val="auto"/>
              </w:rPr>
            </w:pPr>
            <w:r>
              <w:rPr>
                <w:rFonts w:ascii="Arial" w:cs="Arial" w:eastAsia="Arial" w:hAnsi="Arial"/>
                <w:sz w:val="14"/>
                <w:szCs w:val="14"/>
                <w:b w:val="1"/>
                <w:bCs w:val="1"/>
                <w:color w:val="auto"/>
                <w:w w:val="92"/>
              </w:rPr>
              <w:t>Common Stock, par value $0.001 per share</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rPr>
              <w:t>ARWR</w:t>
            </w:r>
          </w:p>
        </w:tc>
        <w:tc>
          <w:tcPr>
            <w:tcW w:w="372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The Nasdaq Global Select Market</w:t>
            </w:r>
          </w:p>
        </w:tc>
      </w:tr>
    </w:tbl>
    <w:p>
      <w:pPr>
        <w:spacing w:after="0" w:line="106" w:lineRule="exact"/>
        <w:rPr>
          <w:sz w:val="24"/>
          <w:szCs w:val="24"/>
          <w:color w:val="auto"/>
        </w:rPr>
      </w:pPr>
    </w:p>
    <w:p>
      <w:pPr>
        <w:ind w:right="52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60"/>
        <w:spacing w:after="0" w:line="22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August 7, 2023, Arrowhead Pharmaceuticals, Inc. announced and commented on its financial results for the second quarter ended June 30, 2023. A copy of the press release is furnished herewith as Exhibit 99.1.</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whether made before or after the date hereof, except as expressly set forth by specific reference in such filing to this Current Report on Form 8-K.</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95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371"/>
        </w:trPr>
        <w:tc>
          <w:tcPr>
            <w:tcW w:w="1540" w:type="dxa"/>
            <w:vAlign w:val="bottom"/>
            <w:gridSpan w:val="2"/>
          </w:tcPr>
          <w:p>
            <w:pPr>
              <w:ind w:left="6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6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Press Release, dated August 7, 2023.</w:t>
            </w:r>
          </w:p>
        </w:tc>
        <w:tc>
          <w:tcPr>
            <w:tcW w:w="6920" w:type="dxa"/>
            <w:vAlign w:val="bottom"/>
            <w:gridSpan w:val="2"/>
          </w:tcPr>
          <w:p>
            <w:pPr>
              <w:spacing w:after="0"/>
              <w:rPr>
                <w:sz w:val="24"/>
                <w:szCs w:val="24"/>
                <w:color w:val="auto"/>
              </w:rPr>
            </w:pPr>
          </w:p>
        </w:tc>
      </w:tr>
      <w:tr>
        <w:trPr>
          <w:trHeight w:val="547"/>
        </w:trPr>
        <w:tc>
          <w:tcPr>
            <w:tcW w:w="1540" w:type="dxa"/>
            <w:vAlign w:val="bottom"/>
            <w:gridSpan w:val="2"/>
          </w:tcPr>
          <w:p>
            <w:pPr>
              <w:ind w:left="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Cover Page Interactive Data File (the cover page tags are embedded within the Inline XBRL document).</w:t>
            </w:r>
          </w:p>
        </w:tc>
      </w:tr>
      <w:tr>
        <w:trPr>
          <w:trHeight w:val="1033"/>
        </w:trPr>
        <w:tc>
          <w:tcPr>
            <w:tcW w:w="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ARROWHEAD PHARMACEUTICALS, INC.</w:t>
      </w:r>
    </w:p>
    <w:p>
      <w:pPr>
        <w:spacing w:after="0" w:line="320" w:lineRule="exact"/>
        <w:rPr>
          <w:sz w:val="20"/>
          <w:szCs w:val="20"/>
          <w:color w:val="auto"/>
        </w:rPr>
      </w:pPr>
    </w:p>
    <w:p>
      <w:pPr>
        <w:ind w:left="20"/>
        <w:spacing w:after="0"/>
        <w:tabs>
          <w:tab w:leader="none" w:pos="1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063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Kenneth Myszkowski</w:t>
      </w:r>
    </w:p>
    <w:p>
      <w:pPr>
        <w:spacing w:after="0" w:line="5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31"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911860</wp:posOffset>
            </wp:positionV>
            <wp:extent cx="1903095" cy="634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0309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PRESS RELEASE</w:t>
      </w:r>
    </w:p>
    <w:p>
      <w:pPr>
        <w:ind w:left="80"/>
        <w:spacing w:after="0"/>
        <w:rPr>
          <w:sz w:val="20"/>
          <w:szCs w:val="20"/>
          <w:color w:val="auto"/>
        </w:rPr>
      </w:pPr>
      <w:r>
        <w:rPr>
          <w:rFonts w:ascii="Arial" w:cs="Arial" w:eastAsia="Arial" w:hAnsi="Arial"/>
          <w:sz w:val="22"/>
          <w:szCs w:val="22"/>
          <w:b w:val="1"/>
          <w:bCs w:val="1"/>
          <w:color w:val="auto"/>
        </w:rPr>
        <w:t>Aug. 7, 2023</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Arrowhead Pharmaceuticals Reports Fiscal 2023 Second Quarter Results</w:t>
      </w:r>
    </w:p>
    <w:p>
      <w:pPr>
        <w:spacing w:after="0" w:line="176" w:lineRule="exact"/>
        <w:rPr>
          <w:sz w:val="20"/>
          <w:szCs w:val="20"/>
          <w:color w:val="auto"/>
        </w:rPr>
      </w:pPr>
    </w:p>
    <w:p>
      <w:pPr>
        <w:ind w:left="2480" w:hanging="332"/>
        <w:spacing w:after="0"/>
        <w:tabs>
          <w:tab w:leader="none" w:pos="2480" w:val="left"/>
        </w:tabs>
        <w:numPr>
          <w:ilvl w:val="0"/>
          <w:numId w:val="2"/>
        </w:numPr>
        <w:rPr>
          <w:rFonts w:ascii="Arial" w:cs="Arial" w:eastAsia="Arial" w:hAnsi="Arial"/>
          <w:sz w:val="22"/>
          <w:szCs w:val="22"/>
          <w:color w:val="auto"/>
        </w:rPr>
      </w:pPr>
      <w:r>
        <w:rPr>
          <w:rFonts w:ascii="Arial" w:cs="Arial" w:eastAsia="Arial" w:hAnsi="Arial"/>
          <w:sz w:val="21"/>
          <w:szCs w:val="21"/>
          <w:color w:val="auto"/>
        </w:rPr>
        <w:t>Conference Call and Webcast Today, August 7, 2023 at 4:30 p.m. ET</w:t>
      </w:r>
    </w:p>
    <w:p>
      <w:pPr>
        <w:spacing w:after="0" w:line="299" w:lineRule="exact"/>
        <w:rPr>
          <w:sz w:val="20"/>
          <w:szCs w:val="20"/>
          <w:color w:val="auto"/>
        </w:rPr>
      </w:pPr>
    </w:p>
    <w:p>
      <w:pPr>
        <w:jc w:val="both"/>
        <w:spacing w:after="0" w:line="382" w:lineRule="auto"/>
        <w:rPr>
          <w:sz w:val="20"/>
          <w:szCs w:val="20"/>
          <w:color w:val="auto"/>
        </w:rPr>
      </w:pPr>
      <w:r>
        <w:rPr>
          <w:rFonts w:ascii="Arial" w:cs="Arial" w:eastAsia="Arial" w:hAnsi="Arial"/>
          <w:sz w:val="20"/>
          <w:szCs w:val="20"/>
          <w:b w:val="1"/>
          <w:bCs w:val="1"/>
          <w:color w:val="auto"/>
        </w:rPr>
        <w:t xml:space="preserve">PASADENA, Calif., Aug. 7, 2023 </w:t>
      </w:r>
      <w:r>
        <w:rPr>
          <w:rFonts w:ascii="Arial" w:cs="Arial" w:eastAsia="Arial" w:hAnsi="Arial"/>
          <w:sz w:val="20"/>
          <w:szCs w:val="20"/>
          <w:color w:val="auto"/>
        </w:rPr>
        <w:t>— Arrowhead Pharmaceuticals, Inc. (NASDAQ: ARWR) today announced financial results for</w:t>
      </w:r>
      <w:r>
        <w:rPr>
          <w:rFonts w:ascii="Arial" w:cs="Arial" w:eastAsia="Arial" w:hAnsi="Arial"/>
          <w:sz w:val="20"/>
          <w:szCs w:val="20"/>
          <w:b w:val="1"/>
          <w:bCs w:val="1"/>
          <w:color w:val="auto"/>
        </w:rPr>
        <w:t xml:space="preserve"> </w:t>
      </w:r>
      <w:r>
        <w:rPr>
          <w:rFonts w:ascii="Arial" w:cs="Arial" w:eastAsia="Arial" w:hAnsi="Arial"/>
          <w:sz w:val="20"/>
          <w:szCs w:val="20"/>
          <w:color w:val="auto"/>
        </w:rPr>
        <w:t>its fiscal third quarter ended June 30, 2023. The company is hosting a conference call today, Aug. 7, 2023, at 4:30 p.m. ET to discuss the results.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and Details</w:t>
      </w:r>
    </w:p>
    <w:p>
      <w:pPr>
        <w:spacing w:after="0" w:line="347"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 xml:space="preserve">Investors may access a live audio webcast on the Company's website at </w:t>
      </w:r>
      <w:r>
        <w:rPr>
          <w:rFonts w:ascii="Arial" w:cs="Arial" w:eastAsia="Arial" w:hAnsi="Arial"/>
          <w:sz w:val="20"/>
          <w:szCs w:val="20"/>
          <w:u w:val="single" w:color="auto"/>
          <w:color w:val="auto"/>
        </w:rPr>
        <w:t>http://ir.arrowheadpharma.com/events.cfm</w:t>
      </w:r>
      <w:r>
        <w:rPr>
          <w:rFonts w:ascii="Arial" w:cs="Arial" w:eastAsia="Arial" w:hAnsi="Arial"/>
          <w:sz w:val="20"/>
          <w:szCs w:val="20"/>
          <w:color w:val="auto"/>
        </w:rPr>
        <w:t>. A replay of the webcast will be available approximately two hours after the conclusion of the call.</w:t>
      </w:r>
    </w:p>
    <w:p>
      <w:pPr>
        <w:spacing w:after="0" w:line="188"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 xml:space="preserve">For analysts that wish to participate in the conference call, please register at </w:t>
      </w:r>
      <w:r>
        <w:rPr>
          <w:rFonts w:ascii="Arial" w:cs="Arial" w:eastAsia="Arial" w:hAnsi="Arial"/>
          <w:sz w:val="20"/>
          <w:szCs w:val="20"/>
          <w:u w:val="single" w:color="auto"/>
          <w:color w:val="auto"/>
        </w:rPr>
        <w:t>https://register.vevent.com/register/BIf9cd65655e5444119df91cd4891157f8</w:t>
      </w:r>
      <w:r>
        <w:rPr>
          <w:rFonts w:ascii="Arial" w:cs="Arial" w:eastAsia="Arial" w:hAnsi="Arial"/>
          <w:sz w:val="20"/>
          <w:szCs w:val="20"/>
          <w:color w:val="auto"/>
        </w:rPr>
        <w:t>. Once registered, you will receive the dial-in number and a personalized PIN code that will be required to access the call.</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Recent Events</w:t>
      </w:r>
    </w:p>
    <w:p>
      <w:pPr>
        <w:spacing w:after="0" w:line="347" w:lineRule="exact"/>
        <w:rPr>
          <w:sz w:val="20"/>
          <w:szCs w:val="20"/>
          <w:color w:val="auto"/>
        </w:rPr>
      </w:pPr>
    </w:p>
    <w:p>
      <w:pPr>
        <w:ind w:left="660" w:hanging="328"/>
        <w:spacing w:after="0" w:line="312"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Hosted a Research &amp; Development Day to discuss progress towards the company’s “20 in 25” goal to grow its pipeline of RNAi therapeutics that leverage the proprietary Targeted RNAi Molecule (TRiM</w:t>
      </w:r>
      <w:r>
        <w:rPr>
          <w:rFonts w:ascii="Arial" w:cs="Arial" w:eastAsia="Arial" w:hAnsi="Arial"/>
          <w:sz w:val="11"/>
          <w:szCs w:val="11"/>
          <w:color w:val="auto"/>
        </w:rPr>
        <w:t>TM</w:t>
      </w:r>
      <w:r>
        <w:rPr>
          <w:rFonts w:ascii="Arial" w:cs="Arial" w:eastAsia="Arial" w:hAnsi="Arial"/>
          <w:sz w:val="20"/>
          <w:szCs w:val="20"/>
          <w:color w:val="auto"/>
        </w:rPr>
        <w:t>) platform to a total of 20 clinical stage or marketed products in the year 2025. Key updates included:</w:t>
      </w:r>
    </w:p>
    <w:p>
      <w:pPr>
        <w:spacing w:after="0" w:line="45" w:lineRule="exact"/>
        <w:rPr>
          <w:rFonts w:ascii="Arial" w:cs="Arial" w:eastAsia="Arial" w:hAnsi="Arial"/>
          <w:sz w:val="22"/>
          <w:szCs w:val="22"/>
          <w:color w:val="auto"/>
        </w:rPr>
      </w:pPr>
    </w:p>
    <w:p>
      <w:pPr>
        <w:jc w:val="both"/>
        <w:ind w:left="1300" w:hanging="320"/>
        <w:spacing w:after="0" w:line="312"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0"/>
          <w:szCs w:val="20"/>
          <w:color w:val="auto"/>
        </w:rPr>
        <w:t>New Phase 1 clinical data on ARO-RAGE showing a continued dose response in healthy volunteers with a single inhaled dose of 184 mg achieving mean knockdown of 90% and a maximum of 95% in bronchoalveolar lavage fluid (BALF)</w:t>
      </w:r>
    </w:p>
    <w:p>
      <w:pPr>
        <w:spacing w:after="0" w:line="99" w:lineRule="exact"/>
        <w:rPr>
          <w:rFonts w:ascii="Arial" w:cs="Arial" w:eastAsia="Arial" w:hAnsi="Arial"/>
          <w:sz w:val="22"/>
          <w:szCs w:val="22"/>
          <w:color w:val="auto"/>
        </w:rPr>
      </w:pPr>
    </w:p>
    <w:p>
      <w:pPr>
        <w:ind w:left="1300" w:hanging="320"/>
        <w:spacing w:after="0" w:line="322"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0"/>
          <w:szCs w:val="20"/>
          <w:color w:val="auto"/>
        </w:rPr>
        <w:t>Serum sRAGE reductions in asthma patients consistent with effects seen in healthy volunteers at the 44 mg dose, the only dose level with results currently available in asthma patient cohorts</w:t>
      </w:r>
    </w:p>
    <w:p>
      <w:pPr>
        <w:sectPr>
          <w:pgSz w:w="11900" w:h="16838" w:orient="portrait"/>
          <w:cols w:equalWidth="0" w:num="1">
            <w:col w:w="11240"/>
          </w:cols>
          <w:pgMar w:left="320" w:top="1440" w:right="339" w:bottom="1440" w:gutter="0" w:footer="0" w:header="0"/>
        </w:sectPr>
      </w:pPr>
    </w:p>
    <w:bookmarkStart w:id="4" w:name="page5"/>
    <w:bookmarkEnd w:id="4"/>
    <w:p>
      <w:pPr>
        <w:spacing w:after="0" w:line="32" w:lineRule="exact"/>
        <w:rPr>
          <w:sz w:val="20"/>
          <w:szCs w:val="20"/>
          <w:color w:val="auto"/>
        </w:rPr>
      </w:pPr>
    </w:p>
    <w:p>
      <w:pPr>
        <w:jc w:val="both"/>
        <w:ind w:left="968" w:hanging="320"/>
        <w:spacing w:after="0" w:line="312" w:lineRule="auto"/>
        <w:tabs>
          <w:tab w:leader="none" w:pos="968" w:val="left"/>
        </w:tabs>
        <w:numPr>
          <w:ilvl w:val="1"/>
          <w:numId w:val="4"/>
        </w:numPr>
        <w:rPr>
          <w:rFonts w:ascii="Arial" w:cs="Arial" w:eastAsia="Arial" w:hAnsi="Arial"/>
          <w:sz w:val="22"/>
          <w:szCs w:val="22"/>
          <w:color w:val="auto"/>
        </w:rPr>
      </w:pPr>
      <w:r>
        <w:rPr>
          <w:rFonts w:ascii="Arial" w:cs="Arial" w:eastAsia="Arial" w:hAnsi="Arial"/>
          <w:sz w:val="20"/>
          <w:szCs w:val="20"/>
          <w:color w:val="auto"/>
        </w:rPr>
        <w:t>TRiM</w:t>
      </w:r>
      <w:r>
        <w:rPr>
          <w:rFonts w:ascii="Arial" w:cs="Arial" w:eastAsia="Arial" w:hAnsi="Arial"/>
          <w:sz w:val="11"/>
          <w:szCs w:val="11"/>
          <w:color w:val="auto"/>
        </w:rPr>
        <w:t>TM</w:t>
      </w:r>
      <w:r>
        <w:rPr>
          <w:rFonts w:ascii="Arial" w:cs="Arial" w:eastAsia="Arial" w:hAnsi="Arial"/>
          <w:sz w:val="20"/>
          <w:szCs w:val="20"/>
          <w:color w:val="auto"/>
        </w:rPr>
        <w:t xml:space="preserve"> platform for intrathecal administration for central nervous system (CNS) delivery demonstrates 90-95% dose-dependent mRNA knockdown in disease-relevant spinal cord and cortex brain regions in non-human primates</w:t>
      </w:r>
    </w:p>
    <w:p>
      <w:pPr>
        <w:spacing w:after="0" w:line="99" w:lineRule="exact"/>
        <w:rPr>
          <w:rFonts w:ascii="Arial" w:cs="Arial" w:eastAsia="Arial" w:hAnsi="Arial"/>
          <w:sz w:val="22"/>
          <w:szCs w:val="22"/>
          <w:color w:val="auto"/>
        </w:rPr>
      </w:pPr>
    </w:p>
    <w:p>
      <w:pPr>
        <w:ind w:left="968" w:hanging="320"/>
        <w:spacing w:after="0" w:line="322" w:lineRule="auto"/>
        <w:tabs>
          <w:tab w:leader="none" w:pos="968" w:val="left"/>
        </w:tabs>
        <w:numPr>
          <w:ilvl w:val="1"/>
          <w:numId w:val="4"/>
        </w:numPr>
        <w:rPr>
          <w:rFonts w:ascii="Arial" w:cs="Arial" w:eastAsia="Arial" w:hAnsi="Arial"/>
          <w:sz w:val="22"/>
          <w:szCs w:val="22"/>
          <w:color w:val="auto"/>
        </w:rPr>
      </w:pPr>
      <w:r>
        <w:rPr>
          <w:rFonts w:ascii="Arial" w:cs="Arial" w:eastAsia="Arial" w:hAnsi="Arial"/>
          <w:sz w:val="20"/>
          <w:szCs w:val="20"/>
          <w:color w:val="auto"/>
        </w:rPr>
        <w:t>TRiM</w:t>
      </w:r>
      <w:r>
        <w:rPr>
          <w:rFonts w:ascii="Arial" w:cs="Arial" w:eastAsia="Arial" w:hAnsi="Arial"/>
          <w:sz w:val="11"/>
          <w:szCs w:val="11"/>
          <w:color w:val="auto"/>
        </w:rPr>
        <w:t>TM</w:t>
      </w:r>
      <w:r>
        <w:rPr>
          <w:rFonts w:ascii="Arial" w:cs="Arial" w:eastAsia="Arial" w:hAnsi="Arial"/>
          <w:sz w:val="20"/>
          <w:szCs w:val="20"/>
          <w:color w:val="auto"/>
        </w:rPr>
        <w:t xml:space="preserve"> platform for adipose tissue delivery achieved up to 98% knockdown and maintained greater than 85% knockdown over 31 weeks</w:t>
      </w:r>
    </w:p>
    <w:p>
      <w:pPr>
        <w:spacing w:after="0" w:line="81" w:lineRule="exact"/>
        <w:rPr>
          <w:rFonts w:ascii="Arial" w:cs="Arial" w:eastAsia="Arial" w:hAnsi="Arial"/>
          <w:sz w:val="22"/>
          <w:szCs w:val="22"/>
          <w:color w:val="auto"/>
        </w:rPr>
      </w:pPr>
    </w:p>
    <w:p>
      <w:pPr>
        <w:ind w:left="968" w:hanging="320"/>
        <w:spacing w:after="0" w:line="322" w:lineRule="auto"/>
        <w:tabs>
          <w:tab w:leader="none" w:pos="968" w:val="left"/>
        </w:tabs>
        <w:numPr>
          <w:ilvl w:val="1"/>
          <w:numId w:val="4"/>
        </w:numPr>
        <w:rPr>
          <w:rFonts w:ascii="Arial" w:cs="Arial" w:eastAsia="Arial" w:hAnsi="Arial"/>
          <w:sz w:val="22"/>
          <w:szCs w:val="22"/>
          <w:color w:val="auto"/>
        </w:rPr>
      </w:pPr>
      <w:r>
        <w:rPr>
          <w:rFonts w:ascii="Arial" w:cs="Arial" w:eastAsia="Arial" w:hAnsi="Arial"/>
          <w:sz w:val="20"/>
          <w:szCs w:val="20"/>
          <w:color w:val="auto"/>
        </w:rPr>
        <w:t>TRiM</w:t>
      </w:r>
      <w:r>
        <w:rPr>
          <w:rFonts w:ascii="Arial" w:cs="Arial" w:eastAsia="Arial" w:hAnsi="Arial"/>
          <w:sz w:val="11"/>
          <w:szCs w:val="11"/>
          <w:color w:val="auto"/>
        </w:rPr>
        <w:t>TM</w:t>
      </w:r>
      <w:r>
        <w:rPr>
          <w:rFonts w:ascii="Arial" w:cs="Arial" w:eastAsia="Arial" w:hAnsi="Arial"/>
          <w:sz w:val="20"/>
          <w:szCs w:val="20"/>
          <w:color w:val="auto"/>
        </w:rPr>
        <w:t xml:space="preserve"> dimer platform for delivery to hepatocytes achieved equivalent or better knockdown of two separate target genes with longer duration than monomer mixture</w:t>
      </w:r>
    </w:p>
    <w:p>
      <w:pPr>
        <w:spacing w:after="0" w:line="81" w:lineRule="exact"/>
        <w:rPr>
          <w:rFonts w:ascii="Arial" w:cs="Arial" w:eastAsia="Arial" w:hAnsi="Arial"/>
          <w:sz w:val="22"/>
          <w:szCs w:val="22"/>
          <w:color w:val="auto"/>
        </w:rPr>
      </w:pPr>
    </w:p>
    <w:p>
      <w:pPr>
        <w:jc w:val="both"/>
        <w:ind w:left="328" w:hanging="328"/>
        <w:spacing w:after="0" w:line="312" w:lineRule="auto"/>
        <w:tabs>
          <w:tab w:leader="none" w:pos="328" w:val="left"/>
        </w:tabs>
        <w:numPr>
          <w:ilvl w:val="0"/>
          <w:numId w:val="4"/>
        </w:numPr>
        <w:rPr>
          <w:rFonts w:ascii="Arial" w:cs="Arial" w:eastAsia="Arial" w:hAnsi="Arial"/>
          <w:sz w:val="22"/>
          <w:szCs w:val="22"/>
          <w:color w:val="auto"/>
        </w:rPr>
      </w:pPr>
      <w:r>
        <w:rPr>
          <w:rFonts w:ascii="Arial" w:cs="Arial" w:eastAsia="Arial" w:hAnsi="Arial"/>
          <w:sz w:val="20"/>
          <w:szCs w:val="20"/>
          <w:color w:val="auto"/>
        </w:rPr>
        <w:t>Completed enrollment of the global PALISADE Phase 3 clinical trial evaluating ARO-APOC3 for the treatment of familial chylomicronemia syndrome. The company anticipates that the primary portion of the study will be complete in the second quarter of 2024 with a data readout shortly thereafter</w:t>
      </w:r>
    </w:p>
    <w:p>
      <w:pPr>
        <w:spacing w:after="0" w:line="99" w:lineRule="exact"/>
        <w:rPr>
          <w:rFonts w:ascii="Arial" w:cs="Arial" w:eastAsia="Arial" w:hAnsi="Arial"/>
          <w:sz w:val="22"/>
          <w:szCs w:val="22"/>
          <w:color w:val="auto"/>
        </w:rPr>
      </w:pPr>
    </w:p>
    <w:p>
      <w:pPr>
        <w:jc w:val="both"/>
        <w:ind w:left="328" w:hanging="328"/>
        <w:spacing w:after="0" w:line="312" w:lineRule="auto"/>
        <w:tabs>
          <w:tab w:leader="none" w:pos="328" w:val="left"/>
        </w:tabs>
        <w:numPr>
          <w:ilvl w:val="0"/>
          <w:numId w:val="4"/>
        </w:numPr>
        <w:rPr>
          <w:rFonts w:ascii="Arial" w:cs="Arial" w:eastAsia="Arial" w:hAnsi="Arial"/>
          <w:sz w:val="22"/>
          <w:szCs w:val="22"/>
          <w:color w:val="auto"/>
        </w:rPr>
      </w:pPr>
      <w:r>
        <w:rPr>
          <w:rFonts w:ascii="Arial" w:cs="Arial" w:eastAsia="Arial" w:hAnsi="Arial"/>
          <w:sz w:val="20"/>
          <w:szCs w:val="20"/>
          <w:color w:val="auto"/>
        </w:rPr>
        <w:t>Presented interim data from the ongoing Phase 2 GATEWAY clinical study of ARO-ANG3 in patients with homozygous familial hypercholesterolemia at the 91</w:t>
      </w:r>
      <w:r>
        <w:rPr>
          <w:rFonts w:ascii="Arial" w:cs="Arial" w:eastAsia="Arial" w:hAnsi="Arial"/>
          <w:sz w:val="11"/>
          <w:szCs w:val="11"/>
          <w:color w:val="auto"/>
        </w:rPr>
        <w:t>st</w:t>
      </w:r>
      <w:r>
        <w:rPr>
          <w:rFonts w:ascii="Arial" w:cs="Arial" w:eastAsia="Arial" w:hAnsi="Arial"/>
          <w:sz w:val="20"/>
          <w:szCs w:val="20"/>
          <w:color w:val="auto"/>
        </w:rPr>
        <w:t xml:space="preserve"> European Atherosclerosis Society Congress showing that ARO-ANG3 achieved 44-48% mean reductions in LDL-C on top of continued standard of care</w:t>
      </w:r>
    </w:p>
    <w:p>
      <w:pPr>
        <w:spacing w:after="0" w:line="99" w:lineRule="exact"/>
        <w:rPr>
          <w:rFonts w:ascii="Arial" w:cs="Arial" w:eastAsia="Arial" w:hAnsi="Arial"/>
          <w:sz w:val="22"/>
          <w:szCs w:val="22"/>
          <w:color w:val="auto"/>
        </w:rPr>
      </w:pPr>
    </w:p>
    <w:p>
      <w:pPr>
        <w:jc w:val="both"/>
        <w:ind w:left="328" w:hanging="328"/>
        <w:spacing w:after="0" w:line="312" w:lineRule="auto"/>
        <w:tabs>
          <w:tab w:leader="none" w:pos="328" w:val="left"/>
        </w:tabs>
        <w:numPr>
          <w:ilvl w:val="0"/>
          <w:numId w:val="4"/>
        </w:numPr>
        <w:rPr>
          <w:rFonts w:ascii="Arial" w:cs="Arial" w:eastAsia="Arial" w:hAnsi="Arial"/>
          <w:sz w:val="22"/>
          <w:szCs w:val="22"/>
          <w:color w:val="auto"/>
        </w:rPr>
      </w:pPr>
      <w:r>
        <w:rPr>
          <w:rFonts w:ascii="Arial" w:cs="Arial" w:eastAsia="Arial" w:hAnsi="Arial"/>
          <w:sz w:val="20"/>
          <w:szCs w:val="20"/>
          <w:color w:val="auto"/>
        </w:rPr>
        <w:t>Presented updated results from the Phase 2 SEQUOIA clinical study of investigational fazirsiran (TAK-999/ARO-AAT) for the treatment of liver disease associated with alpha-1 antitrypsin deficiency at the European Association for the Study of the Liver (EASL) Congress 2023</w:t>
      </w:r>
    </w:p>
    <w:p>
      <w:pPr>
        <w:spacing w:after="0" w:line="99" w:lineRule="exact"/>
        <w:rPr>
          <w:rFonts w:ascii="Arial" w:cs="Arial" w:eastAsia="Arial" w:hAnsi="Arial"/>
          <w:sz w:val="22"/>
          <w:szCs w:val="22"/>
          <w:color w:val="auto"/>
        </w:rPr>
      </w:pPr>
    </w:p>
    <w:p>
      <w:pPr>
        <w:jc w:val="both"/>
        <w:ind w:left="328" w:hanging="328"/>
        <w:spacing w:after="0" w:line="311" w:lineRule="auto"/>
        <w:tabs>
          <w:tab w:leader="none" w:pos="328" w:val="left"/>
        </w:tabs>
        <w:numPr>
          <w:ilvl w:val="0"/>
          <w:numId w:val="4"/>
        </w:numPr>
        <w:rPr>
          <w:rFonts w:ascii="Arial" w:cs="Arial" w:eastAsia="Arial" w:hAnsi="Arial"/>
          <w:sz w:val="22"/>
          <w:szCs w:val="22"/>
          <w:color w:val="auto"/>
        </w:rPr>
      </w:pPr>
      <w:r>
        <w:rPr>
          <w:rFonts w:ascii="Arial" w:cs="Arial" w:eastAsia="Arial" w:hAnsi="Arial"/>
          <w:sz w:val="20"/>
          <w:szCs w:val="20"/>
          <w:color w:val="auto"/>
        </w:rPr>
        <w:t>Filed an application to initiate a Phase 1 clinical trial of ARO-SOD1, an RNAi-based investigational medicine designed to reduce expression of superoxide dismutase 1 (SOD1) in the CNS as a potential treatment for patients with amyotrophic lateral sclerosis (ALS) caused by SOD1 mutations. ARO-SOD1 is the first therapeutic candidate designed for delivery to the CNS to enter clinical studies that leverages the TRiM</w:t>
      </w:r>
      <w:r>
        <w:rPr>
          <w:rFonts w:ascii="Arial" w:cs="Arial" w:eastAsia="Arial" w:hAnsi="Arial"/>
          <w:sz w:val="11"/>
          <w:szCs w:val="11"/>
          <w:color w:val="auto"/>
        </w:rPr>
        <w:t>TM</w:t>
      </w:r>
      <w:r>
        <w:rPr>
          <w:rFonts w:ascii="Arial" w:cs="Arial" w:eastAsia="Arial" w:hAnsi="Arial"/>
          <w:sz w:val="20"/>
          <w:szCs w:val="20"/>
          <w:color w:val="auto"/>
        </w:rPr>
        <w:t xml:space="preserve"> platform</w:t>
      </w:r>
    </w:p>
    <w:p>
      <w:pPr>
        <w:spacing w:after="0" w:line="101" w:lineRule="exact"/>
        <w:rPr>
          <w:rFonts w:ascii="Arial" w:cs="Arial" w:eastAsia="Arial" w:hAnsi="Arial"/>
          <w:sz w:val="22"/>
          <w:szCs w:val="22"/>
          <w:color w:val="auto"/>
        </w:rPr>
      </w:pPr>
    </w:p>
    <w:p>
      <w:pPr>
        <w:jc w:val="both"/>
        <w:ind w:left="328" w:hanging="328"/>
        <w:spacing w:after="0" w:line="312" w:lineRule="auto"/>
        <w:tabs>
          <w:tab w:leader="none" w:pos="328" w:val="left"/>
        </w:tabs>
        <w:numPr>
          <w:ilvl w:val="0"/>
          <w:numId w:val="4"/>
        </w:numPr>
        <w:rPr>
          <w:rFonts w:ascii="Arial" w:cs="Arial" w:eastAsia="Arial" w:hAnsi="Arial"/>
          <w:sz w:val="22"/>
          <w:szCs w:val="22"/>
          <w:color w:val="auto"/>
        </w:rPr>
      </w:pPr>
      <w:r>
        <w:rPr>
          <w:rFonts w:ascii="Arial" w:cs="Arial" w:eastAsia="Arial" w:hAnsi="Arial"/>
          <w:sz w:val="20"/>
          <w:szCs w:val="20"/>
          <w:color w:val="auto"/>
        </w:rPr>
        <w:t>Filed an application to initiate a Phase 1/2 clinical trial of ARO-DUX4, the company’s investigational RNAi therapeutic being developed as a potential treatment for patients with facioscapulohumeral muscular dystrophy (FSHD). ARO-DUX4 is the first clinical candidate utilizing the TRiM</w:t>
      </w:r>
      <w:r>
        <w:rPr>
          <w:rFonts w:ascii="Arial" w:cs="Arial" w:eastAsia="Arial" w:hAnsi="Arial"/>
          <w:sz w:val="11"/>
          <w:szCs w:val="11"/>
          <w:color w:val="auto"/>
        </w:rPr>
        <w:t>TM</w:t>
      </w:r>
      <w:r>
        <w:rPr>
          <w:rFonts w:ascii="Arial" w:cs="Arial" w:eastAsia="Arial" w:hAnsi="Arial"/>
          <w:sz w:val="20"/>
          <w:szCs w:val="20"/>
          <w:color w:val="auto"/>
        </w:rPr>
        <w:t xml:space="preserve"> platform to target disease associated genes in skeletal muscle</w:t>
      </w:r>
    </w:p>
    <w:p>
      <w:pPr>
        <w:spacing w:after="0" w:line="99" w:lineRule="exact"/>
        <w:rPr>
          <w:rFonts w:ascii="Arial" w:cs="Arial" w:eastAsia="Arial" w:hAnsi="Arial"/>
          <w:sz w:val="22"/>
          <w:szCs w:val="22"/>
          <w:color w:val="auto"/>
        </w:rPr>
      </w:pPr>
    </w:p>
    <w:p>
      <w:pPr>
        <w:jc w:val="both"/>
        <w:ind w:left="328" w:hanging="328"/>
        <w:spacing w:after="0" w:line="312" w:lineRule="auto"/>
        <w:tabs>
          <w:tab w:leader="none" w:pos="328" w:val="left"/>
        </w:tabs>
        <w:numPr>
          <w:ilvl w:val="0"/>
          <w:numId w:val="4"/>
        </w:numPr>
        <w:rPr>
          <w:rFonts w:ascii="Arial" w:cs="Arial" w:eastAsia="Arial" w:hAnsi="Arial"/>
          <w:sz w:val="22"/>
          <w:szCs w:val="22"/>
          <w:color w:val="auto"/>
        </w:rPr>
      </w:pPr>
      <w:r>
        <w:rPr>
          <w:rFonts w:ascii="Arial" w:cs="Arial" w:eastAsia="Arial" w:hAnsi="Arial"/>
          <w:sz w:val="20"/>
          <w:szCs w:val="20"/>
          <w:color w:val="auto"/>
        </w:rPr>
        <w:t>Earned a $30 million milestone payment from GSK (LSE/NYSE: GSK) following the start of GSK’s Phase 2b trial of GSK4532990, formerly called ARO-HSD, an investigational RNAi therapeutic for the treatment of patients with non-alcoholic steatohepatitis (NASH)</w:t>
      </w:r>
    </w:p>
    <w:p>
      <w:pPr>
        <w:spacing w:after="0" w:line="99" w:lineRule="exact"/>
        <w:rPr>
          <w:rFonts w:ascii="Arial" w:cs="Arial" w:eastAsia="Arial" w:hAnsi="Arial"/>
          <w:sz w:val="22"/>
          <w:szCs w:val="22"/>
          <w:color w:val="auto"/>
        </w:rPr>
      </w:pPr>
    </w:p>
    <w:p>
      <w:pPr>
        <w:ind w:left="328" w:hanging="328"/>
        <w:spacing w:after="0" w:line="322" w:lineRule="auto"/>
        <w:tabs>
          <w:tab w:leader="none" w:pos="328" w:val="left"/>
        </w:tabs>
        <w:numPr>
          <w:ilvl w:val="0"/>
          <w:numId w:val="4"/>
        </w:numPr>
        <w:rPr>
          <w:rFonts w:ascii="Arial" w:cs="Arial" w:eastAsia="Arial" w:hAnsi="Arial"/>
          <w:sz w:val="22"/>
          <w:szCs w:val="22"/>
          <w:color w:val="auto"/>
        </w:rPr>
      </w:pPr>
      <w:r>
        <w:rPr>
          <w:rFonts w:ascii="Arial" w:cs="Arial" w:eastAsia="Arial" w:hAnsi="Arial"/>
          <w:sz w:val="20"/>
          <w:szCs w:val="20"/>
          <w:color w:val="auto"/>
        </w:rPr>
        <w:t>Earned a $40 million milestone payment from Takeda (TSE:4502/NYSE:TAK) after the first patient was dosed in the Phase 3 REDWOOD clinical study of fazirsiran</w:t>
      </w:r>
    </w:p>
    <w:p>
      <w:pPr>
        <w:sectPr>
          <w:pgSz w:w="11900" w:h="16838" w:orient="portrait"/>
          <w:cols w:equalWidth="0" w:num="1">
            <w:col w:w="10908"/>
          </w:cols>
          <w:pgMar w:left="652"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Selected Fiscal 2023 Third Financial Results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6"/>
          <w:szCs w:val="16"/>
          <w:b w:val="1"/>
          <w:bCs w:val="1"/>
          <w:u w:val="single" w:color="auto"/>
          <w:color w:val="auto"/>
        </w:rPr>
        <w:t>OPERATING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49795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54305"/>
                    </a:xfrm>
                    <a:prstGeom prst="rect">
                      <a:avLst/>
                    </a:prstGeom>
                    <a:noFill/>
                  </pic:spPr>
                </pic:pic>
              </a:graphicData>
            </a:graphic>
          </wp:anchor>
        </w:drawing>
      </w:r>
    </w:p>
    <w:p>
      <w:pPr>
        <w:spacing w:after="0" w:line="3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49795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Operating Expenses:</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49795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General and administrative expenses</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49795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Operating income</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49795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49795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Income before income tax expense and noncontrolling interest</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49795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Net income before noncontrolling interest</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Net loss attributable to noncontrolling interest,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49795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955" cy="188595"/>
                    </a:xfrm>
                    <a:prstGeom prst="rect">
                      <a:avLst/>
                    </a:prstGeom>
                    <a:noFill/>
                  </pic:spPr>
                </pic:pic>
              </a:graphicData>
            </a:graphic>
          </wp:anchor>
        </w:drawing>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Net income attributable to Arrowhead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649795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336" w:lineRule="exact"/>
        <w:rPr>
          <w:sz w:val="20"/>
          <w:szCs w:val="20"/>
          <w:color w:val="auto"/>
        </w:rPr>
      </w:pPr>
    </w:p>
    <w:p>
      <w:pPr>
        <w:ind w:left="240" w:right="300"/>
        <w:spacing w:after="0" w:line="386" w:lineRule="auto"/>
        <w:rPr>
          <w:sz w:val="20"/>
          <w:szCs w:val="20"/>
          <w:color w:val="auto"/>
        </w:rPr>
      </w:pPr>
      <w:r>
        <w:rPr>
          <w:rFonts w:ascii="Arial" w:cs="Arial" w:eastAsia="Arial" w:hAnsi="Arial"/>
          <w:sz w:val="16"/>
          <w:szCs w:val="16"/>
          <w:b w:val="1"/>
          <w:bCs w:val="1"/>
          <w:color w:val="auto"/>
        </w:rPr>
        <w:t>Net income per share attributable to Arrowhead Pharmaceuticals, Inc. - Diluted Weighted-average shares used in calculating - Diluted</w:t>
      </w:r>
    </w:p>
    <w:p>
      <w:pPr>
        <w:spacing w:after="0" w:line="367" w:lineRule="exact"/>
        <w:rPr>
          <w:sz w:val="20"/>
          <w:szCs w:val="20"/>
          <w:color w:val="auto"/>
        </w:rPr>
      </w:pPr>
    </w:p>
    <w:p>
      <w:pPr>
        <w:ind w:left="240"/>
        <w:spacing w:after="0"/>
        <w:rPr>
          <w:sz w:val="20"/>
          <w:szCs w:val="20"/>
          <w:color w:val="auto"/>
        </w:rPr>
      </w:pPr>
      <w:r>
        <w:rPr>
          <w:rFonts w:ascii="Arial" w:cs="Arial" w:eastAsia="Arial" w:hAnsi="Arial"/>
          <w:sz w:val="16"/>
          <w:szCs w:val="16"/>
          <w:b w:val="1"/>
          <w:bCs w:val="1"/>
          <w:u w:val="single" w:color="auto"/>
          <w:color w:val="auto"/>
        </w:rPr>
        <w:t>FINANCIAL POSITION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49795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3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49795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Short-term investments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49795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179705"/>
                    </a:xfrm>
                    <a:prstGeom prst="rect">
                      <a:avLst/>
                    </a:prstGeom>
                    <a:noFill/>
                  </pic:spPr>
                </pic:pic>
              </a:graphicData>
            </a:graphic>
          </wp:anchor>
        </w:drawing>
      </w:r>
    </w:p>
    <w:p>
      <w:pPr>
        <w:spacing w:after="0" w:line="7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Total cash resources (cash and investments)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49795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188595"/>
                    </a:xfrm>
                    <a:prstGeom prst="rect">
                      <a:avLst/>
                    </a:prstGeom>
                    <a:noFill/>
                  </pic:spPr>
                </pic:pic>
              </a:graphicData>
            </a:graphic>
          </wp:anchor>
        </w:drawing>
      </w:r>
    </w:p>
    <w:p>
      <w:pPr>
        <w:spacing w:after="0" w:line="8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649795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3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Current deferred revenue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Long-term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49795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97955" cy="179705"/>
                    </a:xfrm>
                    <a:prstGeom prst="rect">
                      <a:avLst/>
                    </a:prstGeom>
                    <a:noFill/>
                  </pic:spPr>
                </pic:pic>
              </a:graphicData>
            </a:graphic>
          </wp:anchor>
        </w:drawing>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liabilities</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49795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33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Total Arrowhead Pharmaceuticals,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49795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Noncontrolling Interest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Total Noncontrolling Interest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49795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97955" cy="188595"/>
                    </a:xfrm>
                    <a:prstGeom prst="rect">
                      <a:avLst/>
                    </a:prstGeom>
                    <a:noFill/>
                  </pic:spPr>
                </pic:pic>
              </a:graphicData>
            </a:graphic>
          </wp:anchor>
        </w:drawing>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Total Liabilities, Noncontrolling Interest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649795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97955" cy="171450"/>
                    </a:xfrm>
                    <a:prstGeom prst="rect">
                      <a:avLst/>
                    </a:prstGeom>
                    <a:noFill/>
                  </pic:spPr>
                </pic:pic>
              </a:graphicData>
            </a:graphic>
          </wp:anchor>
        </w:drawing>
      </w:r>
    </w:p>
    <w:p>
      <w:pPr>
        <w:spacing w:after="0" w:line="33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21945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80" w:type="dxa"/>
            <w:vAlign w:val="bottom"/>
          </w:tcPr>
          <w:p>
            <w:pPr>
              <w:jc w:val="right"/>
              <w:ind w:right="480"/>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8"/>
                <w:szCs w:val="18"/>
                <w:color w:val="auto"/>
              </w:rPr>
            </w:pPr>
          </w:p>
        </w:tc>
        <w:tc>
          <w:tcPr>
            <w:tcW w:w="1480" w:type="dxa"/>
            <w:vAlign w:val="bottom"/>
          </w:tcPr>
          <w:p>
            <w:pPr>
              <w:jc w:val="right"/>
              <w:ind w:right="500"/>
              <w:spacing w:after="0"/>
              <w:rPr>
                <w:sz w:val="20"/>
                <w:szCs w:val="20"/>
                <w:color w:val="auto"/>
              </w:rPr>
            </w:pPr>
            <w:r>
              <w:rPr>
                <w:rFonts w:ascii="Arial" w:cs="Arial" w:eastAsia="Arial" w:hAnsi="Arial"/>
                <w:sz w:val="16"/>
                <w:szCs w:val="16"/>
                <w:b w:val="1"/>
                <w:bCs w:val="1"/>
                <w:color w:val="auto"/>
              </w:rPr>
              <w:t>2022</w:t>
            </w:r>
          </w:p>
        </w:tc>
      </w:tr>
      <w:tr>
        <w:trPr>
          <w:trHeight w:val="46"/>
        </w:trPr>
        <w:tc>
          <w:tcPr>
            <w:tcW w:w="148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11"/>
        </w:trPr>
        <w:tc>
          <w:tcPr>
            <w:tcW w:w="1980" w:type="dxa"/>
            <w:vAlign w:val="bottom"/>
            <w:gridSpan w:val="2"/>
          </w:tcPr>
          <w:p>
            <w:pPr>
              <w:ind w:left="1000"/>
              <w:spacing w:after="0"/>
              <w:rPr>
                <w:sz w:val="20"/>
                <w:szCs w:val="20"/>
                <w:color w:val="auto"/>
              </w:rPr>
            </w:pPr>
            <w:r>
              <w:rPr>
                <w:rFonts w:ascii="Arial" w:cs="Arial" w:eastAsia="Arial" w:hAnsi="Arial"/>
                <w:sz w:val="14"/>
                <w:szCs w:val="14"/>
                <w:b w:val="1"/>
                <w:bCs w:val="1"/>
                <w:color w:val="auto"/>
              </w:rPr>
              <w:t>(unaudited)</w:t>
            </w:r>
          </w:p>
        </w:tc>
        <w:tc>
          <w:tcPr>
            <w:tcW w:w="1480" w:type="dxa"/>
            <w:vAlign w:val="bottom"/>
          </w:tcPr>
          <w:p>
            <w:pPr>
              <w:spacing w:after="0"/>
              <w:rPr>
                <w:sz w:val="18"/>
                <w:szCs w:val="18"/>
                <w:color w:val="auto"/>
              </w:rPr>
            </w:pPr>
          </w:p>
        </w:tc>
      </w:tr>
      <w:tr>
        <w:trPr>
          <w:trHeight w:val="249"/>
        </w:trPr>
        <w:tc>
          <w:tcPr>
            <w:tcW w:w="1480" w:type="dxa"/>
            <w:vAlign w:val="bottom"/>
          </w:tcPr>
          <w:p>
            <w:pPr>
              <w:ind w:left="120"/>
              <w:spacing w:after="0"/>
              <w:rPr>
                <w:sz w:val="20"/>
                <w:szCs w:val="20"/>
                <w:color w:val="auto"/>
              </w:rPr>
            </w:pPr>
            <w:r>
              <w:rPr>
                <w:rFonts w:ascii="Arial" w:cs="Arial" w:eastAsia="Arial" w:hAnsi="Arial"/>
                <w:sz w:val="16"/>
                <w:szCs w:val="16"/>
                <w:b w:val="1"/>
                <w:bCs w:val="1"/>
                <w:color w:val="auto"/>
              </w:rPr>
              <w:t>$ 15,825</w:t>
            </w:r>
          </w:p>
        </w:tc>
        <w:tc>
          <w:tcPr>
            <w:tcW w:w="500" w:type="dxa"/>
            <w:vAlign w:val="bottom"/>
          </w:tcPr>
          <w:p>
            <w:pPr>
              <w:spacing w:after="0"/>
              <w:rPr>
                <w:sz w:val="21"/>
                <w:szCs w:val="21"/>
                <w:color w:val="auto"/>
              </w:rPr>
            </w:pPr>
          </w:p>
        </w:tc>
        <w:tc>
          <w:tcPr>
            <w:tcW w:w="1480" w:type="dxa"/>
            <w:vAlign w:val="bottom"/>
          </w:tcPr>
          <w:p>
            <w:pPr>
              <w:ind w:left="100"/>
              <w:spacing w:after="0"/>
              <w:rPr>
                <w:sz w:val="20"/>
                <w:szCs w:val="20"/>
                <w:color w:val="auto"/>
              </w:rPr>
            </w:pPr>
            <w:r>
              <w:rPr>
                <w:rFonts w:ascii="Arial" w:cs="Arial" w:eastAsia="Arial" w:hAnsi="Arial"/>
                <w:sz w:val="16"/>
                <w:szCs w:val="16"/>
                <w:b w:val="1"/>
                <w:bCs w:val="1"/>
                <w:color w:val="auto"/>
              </w:rPr>
              <w:t>$ 32,412</w:t>
            </w:r>
          </w:p>
        </w:tc>
      </w:tr>
      <w:tr>
        <w:trPr>
          <w:trHeight w:val="540"/>
        </w:trPr>
        <w:tc>
          <w:tcPr>
            <w:tcW w:w="1480" w:type="dxa"/>
            <w:vAlign w:val="bottom"/>
          </w:tcPr>
          <w:p>
            <w:pPr>
              <w:jc w:val="right"/>
              <w:spacing w:after="0"/>
              <w:rPr>
                <w:sz w:val="20"/>
                <w:szCs w:val="20"/>
                <w:color w:val="auto"/>
              </w:rPr>
            </w:pPr>
            <w:r>
              <w:rPr>
                <w:rFonts w:ascii="Arial" w:cs="Arial" w:eastAsia="Arial" w:hAnsi="Arial"/>
                <w:sz w:val="16"/>
                <w:szCs w:val="16"/>
                <w:color w:val="auto"/>
              </w:rPr>
              <w:t>94,757</w:t>
            </w:r>
          </w:p>
        </w:tc>
        <w:tc>
          <w:tcPr>
            <w:tcW w:w="5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72,180</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23,771</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33,141</w:t>
            </w:r>
          </w:p>
        </w:tc>
      </w:tr>
      <w:tr>
        <w:trPr>
          <w:trHeight w:val="47"/>
        </w:trPr>
        <w:tc>
          <w:tcPr>
            <w:tcW w:w="148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17"/>
        </w:trPr>
        <w:tc>
          <w:tcPr>
            <w:tcW w:w="1480" w:type="dxa"/>
            <w:vAlign w:val="bottom"/>
          </w:tcPr>
          <w:p>
            <w:pPr>
              <w:jc w:val="right"/>
              <w:spacing w:after="0"/>
              <w:rPr>
                <w:sz w:val="20"/>
                <w:szCs w:val="20"/>
                <w:color w:val="auto"/>
              </w:rPr>
            </w:pPr>
            <w:r>
              <w:rPr>
                <w:rFonts w:ascii="Arial" w:cs="Arial" w:eastAsia="Arial" w:hAnsi="Arial"/>
                <w:sz w:val="16"/>
                <w:szCs w:val="16"/>
                <w:color w:val="auto"/>
              </w:rPr>
              <w:t>118,528</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105,321</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(102,703)</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(72,909)</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4,172</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1,240</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(5,158)</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306</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33"/>
        </w:trPr>
        <w:tc>
          <w:tcPr>
            <w:tcW w:w="1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1480" w:type="dxa"/>
            <w:vAlign w:val="bottom"/>
          </w:tcPr>
          <w:p>
            <w:pPr>
              <w:jc w:val="right"/>
              <w:spacing w:after="0"/>
              <w:rPr>
                <w:sz w:val="20"/>
                <w:szCs w:val="20"/>
                <w:color w:val="auto"/>
              </w:rPr>
            </w:pPr>
            <w:r>
              <w:rPr>
                <w:rFonts w:ascii="Arial" w:cs="Arial" w:eastAsia="Arial" w:hAnsi="Arial"/>
                <w:sz w:val="16"/>
                <w:szCs w:val="16"/>
                <w:color w:val="auto"/>
              </w:rPr>
              <w:t>(103,383)</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(72,046)</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742</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
        </w:trPr>
        <w:tc>
          <w:tcPr>
            <w:tcW w:w="14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17"/>
        </w:trPr>
        <w:tc>
          <w:tcPr>
            <w:tcW w:w="1480" w:type="dxa"/>
            <w:vAlign w:val="bottom"/>
          </w:tcPr>
          <w:p>
            <w:pPr>
              <w:jc w:val="right"/>
              <w:spacing w:after="0"/>
              <w:rPr>
                <w:sz w:val="20"/>
                <w:szCs w:val="20"/>
                <w:color w:val="auto"/>
              </w:rPr>
            </w:pPr>
            <w:r>
              <w:rPr>
                <w:rFonts w:ascii="Arial" w:cs="Arial" w:eastAsia="Arial" w:hAnsi="Arial"/>
                <w:sz w:val="16"/>
                <w:szCs w:val="16"/>
                <w:color w:val="auto"/>
              </w:rPr>
              <w:t>(104,125)</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(72,046)</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(1,179)</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
        </w:trPr>
        <w:tc>
          <w:tcPr>
            <w:tcW w:w="148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17"/>
        </w:trPr>
        <w:tc>
          <w:tcPr>
            <w:tcW w:w="1480" w:type="dxa"/>
            <w:vAlign w:val="bottom"/>
          </w:tcPr>
          <w:p>
            <w:pPr>
              <w:ind w:left="120"/>
              <w:spacing w:after="0"/>
              <w:rPr>
                <w:sz w:val="20"/>
                <w:szCs w:val="20"/>
                <w:color w:val="auto"/>
              </w:rPr>
            </w:pPr>
            <w:r>
              <w:rPr>
                <w:rFonts w:ascii="Arial" w:cs="Arial" w:eastAsia="Arial" w:hAnsi="Arial"/>
                <w:sz w:val="16"/>
                <w:szCs w:val="16"/>
                <w:b w:val="1"/>
                <w:bCs w:val="1"/>
                <w:color w:val="auto"/>
              </w:rPr>
              <w:t>$ (102,946)</w:t>
            </w:r>
          </w:p>
        </w:tc>
        <w:tc>
          <w:tcPr>
            <w:tcW w:w="500" w:type="dxa"/>
            <w:vAlign w:val="bottom"/>
          </w:tcPr>
          <w:p>
            <w:pPr>
              <w:spacing w:after="0"/>
              <w:rPr>
                <w:sz w:val="18"/>
                <w:szCs w:val="18"/>
                <w:color w:val="auto"/>
              </w:rPr>
            </w:pPr>
          </w:p>
        </w:tc>
        <w:tc>
          <w:tcPr>
            <w:tcW w:w="1480" w:type="dxa"/>
            <w:vAlign w:val="bottom"/>
          </w:tcPr>
          <w:p>
            <w:pPr>
              <w:ind w:left="100"/>
              <w:spacing w:after="0"/>
              <w:rPr>
                <w:sz w:val="20"/>
                <w:szCs w:val="20"/>
                <w:color w:val="auto"/>
              </w:rPr>
            </w:pPr>
            <w:r>
              <w:rPr>
                <w:rFonts w:ascii="Arial" w:cs="Arial" w:eastAsia="Arial" w:hAnsi="Arial"/>
                <w:sz w:val="16"/>
                <w:szCs w:val="16"/>
                <w:b w:val="1"/>
                <w:bCs w:val="1"/>
                <w:color w:val="auto"/>
              </w:rPr>
              <w:t>$ (72,046)</w:t>
            </w:r>
          </w:p>
        </w:tc>
      </w:tr>
      <w:tr>
        <w:trPr>
          <w:trHeight w:val="46"/>
        </w:trPr>
        <w:tc>
          <w:tcPr>
            <w:tcW w:w="148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61"/>
        </w:trPr>
        <w:tc>
          <w:tcPr>
            <w:tcW w:w="1480" w:type="dxa"/>
            <w:vAlign w:val="bottom"/>
          </w:tcPr>
          <w:p>
            <w:pPr>
              <w:ind w:left="120"/>
              <w:spacing w:after="0"/>
              <w:rPr>
                <w:sz w:val="20"/>
                <w:szCs w:val="20"/>
                <w:color w:val="auto"/>
              </w:rPr>
            </w:pPr>
            <w:r>
              <w:rPr>
                <w:rFonts w:ascii="Arial" w:cs="Arial" w:eastAsia="Arial" w:hAnsi="Arial"/>
                <w:sz w:val="16"/>
                <w:szCs w:val="16"/>
                <w:b w:val="1"/>
                <w:bCs w:val="1"/>
                <w:color w:val="auto"/>
              </w:rPr>
              <w:t>$ (0.96)</w:t>
            </w:r>
          </w:p>
        </w:tc>
        <w:tc>
          <w:tcPr>
            <w:tcW w:w="500" w:type="dxa"/>
            <w:vAlign w:val="bottom"/>
          </w:tcPr>
          <w:p>
            <w:pPr>
              <w:spacing w:after="0"/>
              <w:rPr>
                <w:sz w:val="24"/>
                <w:szCs w:val="24"/>
                <w:color w:val="auto"/>
              </w:rPr>
            </w:pPr>
          </w:p>
        </w:tc>
        <w:tc>
          <w:tcPr>
            <w:tcW w:w="1480" w:type="dxa"/>
            <w:vAlign w:val="bottom"/>
          </w:tcPr>
          <w:p>
            <w:pPr>
              <w:ind w:left="100"/>
              <w:spacing w:after="0"/>
              <w:rPr>
                <w:sz w:val="20"/>
                <w:szCs w:val="20"/>
                <w:color w:val="auto"/>
              </w:rPr>
            </w:pPr>
            <w:r>
              <w:rPr>
                <w:rFonts w:ascii="Arial" w:cs="Arial" w:eastAsia="Arial" w:hAnsi="Arial"/>
                <w:sz w:val="16"/>
                <w:szCs w:val="16"/>
                <w:b w:val="1"/>
                <w:bCs w:val="1"/>
                <w:color w:val="auto"/>
              </w:rPr>
              <w:t>$ (0.68)</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107,004</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105,753</w:t>
            </w:r>
          </w:p>
        </w:tc>
      </w:tr>
      <w:tr>
        <w:trPr>
          <w:trHeight w:val="494"/>
        </w:trPr>
        <w:tc>
          <w:tcPr>
            <w:tcW w:w="1980" w:type="dxa"/>
            <w:vAlign w:val="bottom"/>
            <w:gridSpan w:val="2"/>
          </w:tcPr>
          <w:p>
            <w:pPr>
              <w:ind w:left="500"/>
              <w:spacing w:after="0"/>
              <w:rPr>
                <w:sz w:val="20"/>
                <w:szCs w:val="20"/>
                <w:color w:val="auto"/>
              </w:rPr>
            </w:pPr>
            <w:r>
              <w:rPr>
                <w:rFonts w:ascii="Arial" w:cs="Arial" w:eastAsia="Arial" w:hAnsi="Arial"/>
                <w:sz w:val="14"/>
                <w:szCs w:val="14"/>
                <w:b w:val="1"/>
                <w:bCs w:val="1"/>
                <w:color w:val="auto"/>
              </w:rPr>
              <w:t>June 30,</w:t>
            </w:r>
          </w:p>
        </w:tc>
        <w:tc>
          <w:tcPr>
            <w:tcW w:w="1480" w:type="dxa"/>
            <w:vAlign w:val="bottom"/>
          </w:tcPr>
          <w:p>
            <w:pPr>
              <w:jc w:val="right"/>
              <w:ind w:right="220"/>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1480" w:type="dxa"/>
            <w:vAlign w:val="bottom"/>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480" w:type="dxa"/>
            <w:vAlign w:val="bottom"/>
          </w:tcPr>
          <w:p>
            <w:pPr>
              <w:jc w:val="right"/>
              <w:ind w:right="520"/>
              <w:spacing w:after="0"/>
              <w:rPr>
                <w:sz w:val="20"/>
                <w:szCs w:val="20"/>
                <w:color w:val="auto"/>
              </w:rPr>
            </w:pPr>
            <w:r>
              <w:rPr>
                <w:rFonts w:ascii="Arial" w:cs="Arial" w:eastAsia="Arial" w:hAnsi="Arial"/>
                <w:sz w:val="14"/>
                <w:szCs w:val="14"/>
                <w:b w:val="1"/>
                <w:bCs w:val="1"/>
                <w:color w:val="auto"/>
              </w:rPr>
              <w:t>2022</w:t>
            </w:r>
          </w:p>
        </w:tc>
      </w:tr>
      <w:tr>
        <w:trPr>
          <w:trHeight w:val="39"/>
        </w:trPr>
        <w:tc>
          <w:tcPr>
            <w:tcW w:w="198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17"/>
        </w:trPr>
        <w:tc>
          <w:tcPr>
            <w:tcW w:w="1980" w:type="dxa"/>
            <w:vAlign w:val="bottom"/>
            <w:gridSpan w:val="2"/>
          </w:tcPr>
          <w:p>
            <w:pPr>
              <w:ind w:left="80"/>
              <w:spacing w:after="0"/>
              <w:rPr>
                <w:sz w:val="20"/>
                <w:szCs w:val="20"/>
                <w:color w:val="auto"/>
              </w:rPr>
            </w:pPr>
            <w:r>
              <w:rPr>
                <w:rFonts w:ascii="Arial" w:cs="Arial" w:eastAsia="Arial" w:hAnsi="Arial"/>
                <w:sz w:val="16"/>
                <w:szCs w:val="16"/>
                <w:b w:val="1"/>
                <w:bCs w:val="1"/>
                <w:color w:val="auto"/>
              </w:rPr>
              <w:t>(unaudited)</w:t>
            </w:r>
          </w:p>
        </w:tc>
        <w:tc>
          <w:tcPr>
            <w:tcW w:w="1480" w:type="dxa"/>
            <w:vAlign w:val="bottom"/>
          </w:tcPr>
          <w:p>
            <w:pPr>
              <w:spacing w:after="0"/>
              <w:rPr>
                <w:sz w:val="18"/>
                <w:szCs w:val="18"/>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$ 105,334</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$ 108,005</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346,369</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268,391</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42,758</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105,872</w:t>
            </w:r>
          </w:p>
        </w:tc>
      </w:tr>
      <w:tr>
        <w:trPr>
          <w:trHeight w:val="47"/>
        </w:trPr>
        <w:tc>
          <w:tcPr>
            <w:tcW w:w="148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17"/>
        </w:trPr>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494,461</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482,268</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301,395</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209,671</w:t>
            </w:r>
          </w:p>
        </w:tc>
      </w:tr>
      <w:tr>
        <w:trPr>
          <w:trHeight w:val="47"/>
        </w:trPr>
        <w:tc>
          <w:tcPr>
            <w:tcW w:w="148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17"/>
        </w:trPr>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$ 795,856</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$ 691,939</w:t>
            </w:r>
          </w:p>
        </w:tc>
      </w:tr>
      <w:tr>
        <w:trPr>
          <w:trHeight w:val="47"/>
        </w:trPr>
        <w:tc>
          <w:tcPr>
            <w:tcW w:w="148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47"/>
        </w:trPr>
        <w:tc>
          <w:tcPr>
            <w:tcW w:w="1480" w:type="dxa"/>
            <w:vAlign w:val="bottom"/>
          </w:tcPr>
          <w:p>
            <w:pPr>
              <w:jc w:val="right"/>
              <w:spacing w:after="0"/>
              <w:rPr>
                <w:sz w:val="20"/>
                <w:szCs w:val="20"/>
                <w:color w:val="auto"/>
              </w:rPr>
            </w:pPr>
            <w:r>
              <w:rPr>
                <w:rFonts w:ascii="Arial" w:cs="Arial" w:eastAsia="Arial" w:hAnsi="Arial"/>
                <w:sz w:val="16"/>
                <w:szCs w:val="16"/>
                <w:color w:val="auto"/>
              </w:rPr>
              <w:t>$16,905</w:t>
            </w:r>
          </w:p>
        </w:tc>
        <w:tc>
          <w:tcPr>
            <w:tcW w:w="5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$74,099</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55,950</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396,966</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143,551</w:t>
            </w:r>
          </w:p>
        </w:tc>
      </w:tr>
      <w:tr>
        <w:trPr>
          <w:trHeight w:val="47"/>
        </w:trPr>
        <w:tc>
          <w:tcPr>
            <w:tcW w:w="148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17"/>
        </w:trPr>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$ 413,871</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$ 273,600</w:t>
            </w:r>
          </w:p>
        </w:tc>
      </w:tr>
      <w:tr>
        <w:trPr>
          <w:trHeight w:val="540"/>
        </w:trPr>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$ 364,830</w:t>
            </w:r>
          </w:p>
        </w:tc>
        <w:tc>
          <w:tcPr>
            <w:tcW w:w="5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$ 398,520</w:t>
            </w: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17,155</w:t>
            </w: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19,819</w:t>
            </w:r>
          </w:p>
        </w:tc>
      </w:tr>
      <w:tr>
        <w:trPr>
          <w:trHeight w:val="46"/>
        </w:trPr>
        <w:tc>
          <w:tcPr>
            <w:tcW w:w="148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17"/>
        </w:trPr>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381,985</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418,339</w:t>
            </w:r>
          </w:p>
        </w:tc>
      </w:tr>
      <w:tr>
        <w:trPr>
          <w:trHeight w:val="46"/>
        </w:trPr>
        <w:tc>
          <w:tcPr>
            <w:tcW w:w="148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17"/>
        </w:trPr>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$ 795,856</w:t>
            </w: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$ 691,939</w:t>
            </w:r>
          </w:p>
        </w:tc>
      </w:tr>
      <w:tr>
        <w:trPr>
          <w:trHeight w:val="47"/>
        </w:trPr>
        <w:tc>
          <w:tcPr>
            <w:tcW w:w="148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47"/>
        </w:trPr>
        <w:tc>
          <w:tcPr>
            <w:tcW w:w="1480" w:type="dxa"/>
            <w:vAlign w:val="bottom"/>
          </w:tcPr>
          <w:p>
            <w:pPr>
              <w:jc w:val="right"/>
              <w:spacing w:after="0"/>
              <w:rPr>
                <w:sz w:val="20"/>
                <w:szCs w:val="20"/>
                <w:color w:val="auto"/>
              </w:rPr>
            </w:pPr>
            <w:r>
              <w:rPr>
                <w:rFonts w:ascii="Arial" w:cs="Arial" w:eastAsia="Arial" w:hAnsi="Arial"/>
                <w:sz w:val="16"/>
                <w:szCs w:val="16"/>
                <w:color w:val="auto"/>
              </w:rPr>
              <w:t>107,102</w:t>
            </w:r>
          </w:p>
        </w:tc>
        <w:tc>
          <w:tcPr>
            <w:tcW w:w="5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105,960</w:t>
            </w:r>
          </w:p>
        </w:tc>
      </w:tr>
    </w:tbl>
    <w:p>
      <w:pPr>
        <w:sectPr>
          <w:pgSz w:w="11900" w:h="16838" w:orient="portrait"/>
          <w:cols w:equalWidth="0" w:num="2">
            <w:col w:w="6060" w:space="720"/>
            <w:col w:w="3460"/>
          </w:cols>
          <w:pgMar w:left="320" w:top="1421" w:right="1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Arrowhead Pharmaceuticals</w:t>
      </w:r>
    </w:p>
    <w:p>
      <w:pPr>
        <w:spacing w:after="0" w:line="200" w:lineRule="exact"/>
        <w:rPr>
          <w:sz w:val="20"/>
          <w:szCs w:val="20"/>
          <w:color w:val="auto"/>
        </w:rPr>
      </w:pPr>
    </w:p>
    <w:p>
      <w:pPr>
        <w:spacing w:after="0" w:line="201" w:lineRule="exact"/>
        <w:rPr>
          <w:sz w:val="20"/>
          <w:szCs w:val="20"/>
          <w:color w:val="auto"/>
        </w:rPr>
      </w:pPr>
    </w:p>
    <w:p>
      <w:pPr>
        <w:ind w:right="20"/>
        <w:spacing w:after="0" w:line="364" w:lineRule="auto"/>
        <w:rPr>
          <w:sz w:val="20"/>
          <w:szCs w:val="20"/>
          <w:color w:val="auto"/>
        </w:rPr>
      </w:pPr>
      <w:r>
        <w:rPr>
          <w:rFonts w:ascii="Arial" w:cs="Arial" w:eastAsia="Arial" w:hAnsi="Arial"/>
          <w:sz w:val="20"/>
          <w:szCs w:val="20"/>
          <w:color w:val="auto"/>
        </w:rPr>
        <w:t>Arrowhead Pharmaceuticals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spacing w:after="0" w:line="187" w:lineRule="exact"/>
        <w:rPr>
          <w:sz w:val="20"/>
          <w:szCs w:val="20"/>
          <w:color w:val="auto"/>
        </w:rPr>
      </w:pPr>
    </w:p>
    <w:p>
      <w:pPr>
        <w:ind w:right="480"/>
        <w:spacing w:after="0" w:line="388" w:lineRule="auto"/>
        <w:rPr>
          <w:sz w:val="20"/>
          <w:szCs w:val="20"/>
          <w:color w:val="auto"/>
        </w:rPr>
      </w:pPr>
      <w:r>
        <w:rPr>
          <w:rFonts w:ascii="Arial" w:cs="Arial" w:eastAsia="Arial" w:hAnsi="Arial"/>
          <w:sz w:val="20"/>
          <w:szCs w:val="20"/>
          <w:color w:val="auto"/>
        </w:rPr>
        <w:t xml:space="preserve">For more information, please visit www.arrowheadpharma.com, or follow us on Twitter @ArrowheadPharma. To be added to the Company's email list and receive news directly, please visit </w:t>
      </w:r>
      <w:r>
        <w:rPr>
          <w:rFonts w:ascii="Arial" w:cs="Arial" w:eastAsia="Arial" w:hAnsi="Arial"/>
          <w:sz w:val="20"/>
          <w:szCs w:val="20"/>
          <w:u w:val="single" w:color="auto"/>
          <w:color w:val="auto"/>
        </w:rPr>
        <w:t>http://ir.arrowheadpharma.com/email-alerts</w:t>
      </w:r>
      <w:r>
        <w:rPr>
          <w:rFonts w:ascii="Arial" w:cs="Arial" w:eastAsia="Arial" w:hAnsi="Arial"/>
          <w:sz w:val="20"/>
          <w:szCs w:val="20"/>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news release contains forward-looking statements within the meaning of the "safe harbor" provisions of the Private Securities Litigation</w:t>
      </w:r>
    </w:p>
    <w:p>
      <w:pPr>
        <w:jc w:val="both"/>
        <w:spacing w:after="0" w:line="208" w:lineRule="auto"/>
        <w:rPr>
          <w:sz w:val="20"/>
          <w:szCs w:val="20"/>
          <w:color w:val="auto"/>
        </w:rPr>
      </w:pPr>
      <w:r>
        <w:rPr>
          <w:rFonts w:ascii="Arial" w:cs="Arial" w:eastAsia="Arial" w:hAnsi="Arial"/>
          <w:sz w:val="18"/>
          <w:szCs w:val="18"/>
          <w:i w:val="1"/>
          <w:iCs w:val="1"/>
          <w:color w:val="auto"/>
        </w:rPr>
        <w:t>Reform Act of 1995. Any statements contained in this release except for historical information may be deemed to be forward-looking statements. Without limiting the generality of the foregoing, words such as “may,” “will,” “expect,” “believe,” “anticipate,” “hope,” “intend,” “plan,” “project,” “could,” “estimate,” “continue,” “target,” “forecast” or “continue” or the negative of these words or other variations thereof or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i w:val="1"/>
          <w:iCs w:val="1"/>
          <w:color w:val="auto"/>
        </w:rPr>
        <w:t>comparable terminology are intended to identify such forward-looking statements. In addition, any statements that refer to projections of our future financial performance, trends in our business, expectations for our product pipeline or product candidates, including anticipated regulatory submissions and clinical program results, prospects or benefits of our collaborations with other companies, or other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i w:val="1"/>
          <w:iCs w:val="1"/>
          <w:color w:val="auto"/>
        </w:rPr>
        <w:t>characterizations of future events or circumstances are forward-looking statements. These forward-looking statements include, but are not limited to, statements about the initiation, timing, progress and results of our preclinical studies and clinical trials, and our research and development programs; our expectations regarding the potential benefits of the partnership, licensing and/or collaboration arrangements and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i w:val="1"/>
          <w:iCs w:val="1"/>
          <w:color w:val="auto"/>
        </w:rPr>
        <w:t>other strategic arrangements and transactions we have entered into or may enter into in the future; our beliefs and expectations regarding milestone, royalty or other payments that could be due to or from third parties under existing agreements; and our estimates regarding future revenues, research and development expenses, capital requirements and payments to third parties. These statements are based upon our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i w:val="1"/>
          <w:iCs w:val="1"/>
          <w:color w:val="auto"/>
        </w:rPr>
        <w:t>current expectations and speak only as of the date hereof. Our actual results may differ materially and adversely from those expressed in any forward-looking statements as a result of numerous factors and uncertainties, including the impact of the ongoing COVID-19 pandemic on our business, the safety and efficacy of our product candidates, decisions of regulatory authorities and the timing thereof, the duration and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i w:val="1"/>
          <w:iCs w:val="1"/>
          <w:color w:val="auto"/>
        </w:rPr>
        <w:t>impact of regulatory delays in our clinical programs, our ability to finance our operations, the likelihood and timing of the receipt of future milestone and licensing fees, the future success of our scientific studies, our ability to successfully develop and commercialize drug candidates, the timing for starting and completing clinical trials, rapid technological change in our markets, the enforcement of our intellectual</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property rights, and the other risks and uncertainties described in our most recent Annual Report on Form 10-K, subsequent Quarterly Reports on Form 10-Q and other documents filed with the Securities and Exchange Commission from time to time. We assume no obligation to update or revise forward-looking statements to reflect new events or circumstances.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03" w:lineRule="auto"/>
        <w:rPr>
          <w:sz w:val="20"/>
          <w:szCs w:val="20"/>
          <w:color w:val="auto"/>
        </w:rPr>
      </w:pPr>
      <w:r>
        <w:rPr>
          <w:rFonts w:ascii="Arial" w:cs="Arial" w:eastAsia="Arial" w:hAnsi="Arial"/>
          <w:sz w:val="18"/>
          <w:szCs w:val="18"/>
          <w:color w:val="auto"/>
        </w:rPr>
        <w:t>Arrowhead Pharmaceuticals, Inc.</w:t>
      </w:r>
    </w:p>
    <w:p>
      <w:pPr>
        <w:spacing w:after="0" w:line="219" w:lineRule="auto"/>
        <w:rPr>
          <w:sz w:val="20"/>
          <w:szCs w:val="20"/>
          <w:color w:val="auto"/>
        </w:rPr>
      </w:pPr>
      <w:r>
        <w:rPr>
          <w:rFonts w:ascii="Arial" w:cs="Arial" w:eastAsia="Arial" w:hAnsi="Arial"/>
          <w:sz w:val="18"/>
          <w:szCs w:val="18"/>
          <w:color w:val="auto"/>
        </w:rPr>
        <w:t>Vince Anzalone, CFA</w:t>
      </w:r>
    </w:p>
    <w:p>
      <w:pPr>
        <w:spacing w:after="0" w:line="207" w:lineRule="auto"/>
        <w:rPr>
          <w:sz w:val="20"/>
          <w:szCs w:val="20"/>
          <w:color w:val="auto"/>
        </w:rPr>
      </w:pPr>
      <w:r>
        <w:rPr>
          <w:rFonts w:ascii="Arial" w:cs="Arial" w:eastAsia="Arial" w:hAnsi="Arial"/>
          <w:sz w:val="18"/>
          <w:szCs w:val="18"/>
          <w:color w:val="auto"/>
        </w:rPr>
        <w:t>626-304-3400</w:t>
      </w:r>
    </w:p>
    <w:p>
      <w:pPr>
        <w:spacing w:after="0"/>
        <w:rPr>
          <w:sz w:val="20"/>
          <w:szCs w:val="20"/>
          <w:color w:val="auto"/>
        </w:rPr>
      </w:pPr>
      <w:r>
        <w:rPr>
          <w:rFonts w:ascii="Arial" w:cs="Arial" w:eastAsia="Arial" w:hAnsi="Arial"/>
          <w:sz w:val="18"/>
          <w:szCs w:val="18"/>
          <w:u w:val="single" w:color="auto"/>
          <w:color w:val="auto"/>
        </w:rPr>
        <w:t>ir@arrowheadpharma.com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08" w:lineRule="auto"/>
        <w:rPr>
          <w:sz w:val="20"/>
          <w:szCs w:val="20"/>
          <w:color w:val="auto"/>
        </w:rPr>
      </w:pPr>
      <w:r>
        <w:rPr>
          <w:rFonts w:ascii="Arial" w:cs="Arial" w:eastAsia="Arial" w:hAnsi="Arial"/>
          <w:sz w:val="18"/>
          <w:szCs w:val="18"/>
          <w:color w:val="auto"/>
        </w:rPr>
        <w:t>LifeSci Advisors, LLC</w:t>
      </w:r>
    </w:p>
    <w:p>
      <w:pPr>
        <w:spacing w:after="0" w:line="203" w:lineRule="auto"/>
        <w:rPr>
          <w:sz w:val="20"/>
          <w:szCs w:val="20"/>
          <w:color w:val="auto"/>
        </w:rPr>
      </w:pPr>
      <w:r>
        <w:rPr>
          <w:rFonts w:ascii="Arial" w:cs="Arial" w:eastAsia="Arial" w:hAnsi="Arial"/>
          <w:sz w:val="18"/>
          <w:szCs w:val="18"/>
          <w:color w:val="auto"/>
        </w:rPr>
        <w:t>Brian Ritchie</w:t>
      </w:r>
    </w:p>
    <w:p>
      <w:pPr>
        <w:spacing w:after="0" w:line="222" w:lineRule="auto"/>
        <w:rPr>
          <w:sz w:val="20"/>
          <w:szCs w:val="20"/>
          <w:color w:val="auto"/>
        </w:rPr>
      </w:pPr>
      <w:r>
        <w:rPr>
          <w:rFonts w:ascii="Arial" w:cs="Arial" w:eastAsia="Arial" w:hAnsi="Arial"/>
          <w:sz w:val="18"/>
          <w:szCs w:val="18"/>
          <w:color w:val="auto"/>
        </w:rPr>
        <w:t>212-915-2578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britchie@lifesciadvisors.com</w:t>
      </w:r>
    </w:p>
    <w:p>
      <w:pPr>
        <w:sectPr>
          <w:pgSz w:w="11900" w:h="16838" w:orient="portrait"/>
          <w:cols w:equalWidth="0" w:num="1">
            <w:col w:w="11240"/>
          </w:cols>
          <w:pgMar w:left="320" w:top="139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www.lifesciadvisors.com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08" w:lineRule="auto"/>
        <w:rPr>
          <w:sz w:val="20"/>
          <w:szCs w:val="20"/>
          <w:color w:val="auto"/>
        </w:rPr>
      </w:pPr>
      <w:r>
        <w:rPr>
          <w:rFonts w:ascii="Arial" w:cs="Arial" w:eastAsia="Arial" w:hAnsi="Arial"/>
          <w:sz w:val="18"/>
          <w:szCs w:val="18"/>
          <w:color w:val="auto"/>
        </w:rPr>
        <w:t>LifeSci Communications, LLC</w:t>
      </w:r>
    </w:p>
    <w:p>
      <w:pPr>
        <w:spacing w:after="0" w:line="203" w:lineRule="auto"/>
        <w:rPr>
          <w:sz w:val="20"/>
          <w:szCs w:val="20"/>
          <w:color w:val="auto"/>
        </w:rPr>
      </w:pPr>
      <w:r>
        <w:rPr>
          <w:rFonts w:ascii="Arial" w:cs="Arial" w:eastAsia="Arial" w:hAnsi="Arial"/>
          <w:sz w:val="18"/>
          <w:szCs w:val="18"/>
          <w:color w:val="auto"/>
        </w:rPr>
        <w:t>Jason Braco, Ph.D.</w:t>
      </w:r>
    </w:p>
    <w:p>
      <w:pPr>
        <w:spacing w:after="0" w:line="222" w:lineRule="auto"/>
        <w:rPr>
          <w:sz w:val="20"/>
          <w:szCs w:val="20"/>
          <w:color w:val="auto"/>
        </w:rPr>
      </w:pPr>
      <w:r>
        <w:rPr>
          <w:rFonts w:ascii="Arial" w:cs="Arial" w:eastAsia="Arial" w:hAnsi="Arial"/>
          <w:sz w:val="18"/>
          <w:szCs w:val="18"/>
          <w:color w:val="auto"/>
        </w:rPr>
        <w:t>646-751-4361</w:t>
      </w:r>
    </w:p>
    <w:p>
      <w:pPr>
        <w:spacing w:after="0" w:line="204" w:lineRule="auto"/>
        <w:rPr>
          <w:sz w:val="20"/>
          <w:szCs w:val="20"/>
          <w:color w:val="auto"/>
        </w:rPr>
      </w:pPr>
      <w:r>
        <w:rPr>
          <w:rFonts w:ascii="Arial" w:cs="Arial" w:eastAsia="Arial" w:hAnsi="Arial"/>
          <w:sz w:val="18"/>
          <w:szCs w:val="18"/>
          <w:color w:val="auto"/>
        </w:rPr>
        <w:t>jbraco@lifescicomms.com</w:t>
      </w:r>
    </w:p>
    <w:p>
      <w:pPr>
        <w:spacing w:after="0"/>
        <w:rPr>
          <w:sz w:val="20"/>
          <w:szCs w:val="20"/>
          <w:color w:val="auto"/>
        </w:rPr>
      </w:pPr>
      <w:r>
        <w:rPr>
          <w:rFonts w:ascii="Arial" w:cs="Arial" w:eastAsia="Arial" w:hAnsi="Arial"/>
          <w:sz w:val="18"/>
          <w:szCs w:val="18"/>
          <w:u w:val="single" w:color="auto"/>
          <w:color w:val="auto"/>
          <w:highlight w:val="white"/>
        </w:rPr>
        <w:t>www.lifescicommunications.com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Source: </w:t>
      </w:r>
      <w:r>
        <w:rPr>
          <w:rFonts w:ascii="Arial" w:cs="Arial" w:eastAsia="Arial" w:hAnsi="Arial"/>
          <w:sz w:val="18"/>
          <w:szCs w:val="18"/>
          <w:color w:val="auto"/>
        </w:rPr>
        <w:t>Arrowhead Pharmaceuticals, Inc.</w:t>
      </w:r>
    </w:p>
    <w:p>
      <w:pPr>
        <w:spacing w:after="0" w:line="1" w:lineRule="exact"/>
        <w:rPr>
          <w:sz w:val="20"/>
          <w:szCs w:val="20"/>
          <w:color w:val="auto"/>
        </w:rPr>
      </w:pPr>
    </w:p>
    <w:p>
      <w:pPr>
        <w:jc w:val="right"/>
        <w:ind w:right="4299"/>
        <w:spacing w:after="0"/>
        <w:rPr>
          <w:sz w:val="20"/>
          <w:szCs w:val="20"/>
          <w:color w:val="auto"/>
        </w:rPr>
      </w:pPr>
      <w:r>
        <w:rPr>
          <w:rFonts w:ascii="Arial" w:cs="Arial" w:eastAsia="Arial" w:hAnsi="Arial"/>
          <w:sz w:val="20"/>
          <w:szCs w:val="20"/>
          <w:color w:val="auto"/>
        </w:rPr>
        <w:t># # #</w:t>
      </w:r>
    </w:p>
    <w:sectPr>
      <w:pgSz w:w="11900" w:h="16838" w:orient="portrait"/>
      <w:cols w:equalWidth="0" w:num="1">
        <w:col w:w="10139"/>
      </w:cols>
      <w:pgMar w:left="320" w:top="14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2023-08-07T15:23:43Z</dcterms:created>
  <dcterms:modified xsi:type="dcterms:W3CDTF">2023-08-07T15:23:43Z</dcterms:modified>
</cp:coreProperties>
</file>