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FORM 10-QSB</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ind w:left="420" w:right="3999" w:hanging="419"/>
        <w:spacing w:after="0" w:line="238" w:lineRule="auto"/>
        <w:tabs>
          <w:tab w:leader="none" w:pos="400" w:val="left"/>
        </w:tabs>
        <w:rPr>
          <w:sz w:val="20"/>
          <w:szCs w:val="20"/>
          <w:color w:val="auto"/>
        </w:rPr>
      </w:pPr>
      <w:r>
        <w:rPr>
          <w:rFonts w:ascii="Courier New" w:cs="Courier New" w:eastAsia="Courier New" w:hAnsi="Courier New"/>
          <w:sz w:val="18"/>
          <w:szCs w:val="18"/>
          <w:color w:val="auto"/>
        </w:rPr>
        <w:t>[X]</w:t>
        <w:tab/>
        <w:t>QUARTERLY REPORT PURSUANT TO SECTION 13 OR 15(d) OF THE SECURITIES EXCHANGE ACT OF 1934</w:t>
      </w:r>
    </w:p>
    <w:p>
      <w:pPr>
        <w:spacing w:after="0" w:line="1" w:lineRule="exact"/>
        <w:rPr>
          <w:sz w:val="24"/>
          <w:szCs w:val="24"/>
          <w:color w:val="auto"/>
        </w:rPr>
      </w:pPr>
    </w:p>
    <w:p>
      <w:pPr>
        <w:ind w:left="2000"/>
        <w:spacing w:after="0"/>
        <w:tabs>
          <w:tab w:leader="none" w:pos="5460" w:val="left"/>
        </w:tabs>
        <w:rPr>
          <w:sz w:val="20"/>
          <w:szCs w:val="20"/>
          <w:color w:val="auto"/>
        </w:rPr>
      </w:pPr>
      <w:r>
        <w:rPr>
          <w:rFonts w:ascii="Courier New" w:cs="Courier New" w:eastAsia="Courier New" w:hAnsi="Courier New"/>
          <w:sz w:val="18"/>
          <w:szCs w:val="18"/>
          <w:color w:val="auto"/>
        </w:rPr>
        <w:t>For the quarterly period ended:</w:t>
      </w:r>
      <w:r>
        <w:rPr>
          <w:sz w:val="20"/>
          <w:szCs w:val="20"/>
          <w:color w:val="auto"/>
        </w:rPr>
        <w:tab/>
      </w:r>
      <w:r>
        <w:rPr>
          <w:rFonts w:ascii="Courier New" w:cs="Courier New" w:eastAsia="Courier New" w:hAnsi="Courier New"/>
          <w:sz w:val="16"/>
          <w:szCs w:val="16"/>
          <w:color w:val="auto"/>
        </w:rPr>
        <w:t>June 30, 1999</w:t>
      </w:r>
    </w:p>
    <w:p>
      <w:pPr>
        <w:spacing w:after="0" w:line="169" w:lineRule="exact"/>
        <w:rPr>
          <w:sz w:val="24"/>
          <w:szCs w:val="24"/>
          <w:color w:val="auto"/>
        </w:rPr>
      </w:pPr>
    </w:p>
    <w:p>
      <w:pPr>
        <w:ind w:left="540" w:right="3359" w:hanging="532"/>
        <w:spacing w:after="0" w:line="257" w:lineRule="auto"/>
        <w:tabs>
          <w:tab w:leader="none" w:pos="32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w:t>
      </w: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transition period from _____________ to _____________</w:t>
      </w:r>
    </w:p>
    <w:p>
      <w:pPr>
        <w:spacing w:after="0" w:line="169" w:lineRule="exact"/>
        <w:rPr>
          <w:sz w:val="24"/>
          <w:szCs w:val="24"/>
          <w:color w:val="auto"/>
        </w:rPr>
      </w:pPr>
    </w:p>
    <w:p>
      <w:pPr>
        <w:ind w:left="1800"/>
        <w:spacing w:after="0"/>
        <w:tabs>
          <w:tab w:leader="none" w:pos="442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000-21898</w:t>
      </w:r>
    </w:p>
    <w:p>
      <w:pPr>
        <w:spacing w:after="0" w:line="200" w:lineRule="exact"/>
        <w:rPr>
          <w:sz w:val="24"/>
          <w:szCs w:val="24"/>
          <w:color w:val="auto"/>
        </w:rPr>
      </w:pPr>
    </w:p>
    <w:p>
      <w:pPr>
        <w:spacing w:after="0" w:line="204" w:lineRule="exact"/>
        <w:rPr>
          <w:sz w:val="24"/>
          <w:szCs w:val="24"/>
          <w:color w:val="auto"/>
        </w:rPr>
      </w:pPr>
    </w:p>
    <w:p>
      <w:pPr>
        <w:jc w:val="center"/>
        <w:ind w:right="299"/>
        <w:spacing w:after="0"/>
        <w:rPr>
          <w:sz w:val="20"/>
          <w:szCs w:val="20"/>
          <w:color w:val="auto"/>
        </w:rPr>
      </w:pPr>
      <w:r>
        <w:rPr>
          <w:rFonts w:ascii="Courier New" w:cs="Courier New" w:eastAsia="Courier New" w:hAnsi="Courier New"/>
          <w:sz w:val="18"/>
          <w:szCs w:val="18"/>
          <w:color w:val="auto"/>
        </w:rPr>
        <w:t>INTERACTIVE INC.</w:t>
      </w:r>
    </w:p>
    <w:p>
      <w:pPr>
        <w:spacing w:after="0" w:line="2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(Exact name of small business issuer as specified in its charter)</w:t>
      </w:r>
    </w:p>
    <w:p>
      <w:pPr>
        <w:ind w:left="2960"/>
        <w:spacing w:after="0"/>
        <w:rPr>
          <w:sz w:val="20"/>
          <w:szCs w:val="20"/>
          <w:color w:val="auto"/>
        </w:rPr>
      </w:pPr>
      <w:r>
        <w:rPr>
          <w:rFonts w:ascii="Courier New" w:cs="Courier New" w:eastAsia="Courier New" w:hAnsi="Courier New"/>
          <w:sz w:val="18"/>
          <w:szCs w:val="18"/>
          <w:color w:val="auto"/>
        </w:rPr>
        <w:t>South Dakota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46-0408024</w:t>
      </w:r>
    </w:p>
    <w:p>
      <w:pPr>
        <w:spacing w:after="0" w:line="29" w:lineRule="exact"/>
        <w:rPr>
          <w:sz w:val="24"/>
          <w:szCs w:val="24"/>
          <w:color w:val="auto"/>
        </w:rPr>
      </w:pPr>
    </w:p>
    <w:p>
      <w:pPr>
        <w:ind w:left="640"/>
        <w:spacing w:after="0"/>
        <w:tabs>
          <w:tab w:leader="none" w:pos="5680" w:val="left"/>
        </w:tabs>
        <w:rPr>
          <w:sz w:val="20"/>
          <w:szCs w:val="20"/>
          <w:color w:val="auto"/>
        </w:rPr>
      </w:pPr>
      <w:r>
        <w:rPr>
          <w:rFonts w:ascii="Courier New" w:cs="Courier New" w:eastAsia="Courier New" w:hAnsi="Courier New"/>
          <w:sz w:val="18"/>
          <w:szCs w:val="18"/>
          <w:color w:val="auto"/>
        </w:rPr>
        <w:t>(state of incorporation or organization)</w:t>
      </w:r>
      <w:r>
        <w:rPr>
          <w:sz w:val="20"/>
          <w:szCs w:val="20"/>
          <w:color w:val="auto"/>
        </w:rPr>
        <w:tab/>
      </w:r>
      <w:r>
        <w:rPr>
          <w:rFonts w:ascii="Courier New" w:cs="Courier New" w:eastAsia="Courier New" w:hAnsi="Courier New"/>
          <w:sz w:val="16"/>
          <w:szCs w:val="16"/>
          <w:color w:val="auto"/>
        </w:rPr>
        <w:t>(IRS Employer ID No)</w:t>
      </w:r>
    </w:p>
    <w:p>
      <w:pPr>
        <w:ind w:left="3060"/>
        <w:spacing w:after="0"/>
        <w:rPr>
          <w:sz w:val="20"/>
          <w:szCs w:val="20"/>
          <w:color w:val="auto"/>
        </w:rPr>
      </w:pPr>
      <w:r>
        <w:rPr>
          <w:rFonts w:ascii="Courier New" w:cs="Courier New" w:eastAsia="Courier New" w:hAnsi="Courier New"/>
          <w:sz w:val="18"/>
          <w:szCs w:val="18"/>
          <w:color w:val="auto"/>
        </w:rPr>
        <w:t>204 N. Main, Humboldt, SD 57035</w:t>
      </w:r>
    </w:p>
    <w:p>
      <w:pPr>
        <w:spacing w:after="0" w:line="169"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9" w:lineRule="exact"/>
        <w:rPr>
          <w:sz w:val="24"/>
          <w:szCs w:val="24"/>
          <w:color w:val="auto"/>
        </w:rPr>
      </w:pPr>
    </w:p>
    <w:p>
      <w:pPr>
        <w:ind w:left="4220" w:hanging="630"/>
        <w:spacing w:after="0"/>
        <w:tabs>
          <w:tab w:leader="none" w:pos="4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363-5117</w:t>
      </w: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Issuer's telephone number</w:t>
      </w:r>
    </w:p>
    <w:p>
      <w:pPr>
        <w:ind w:left="3580"/>
        <w:spacing w:after="0"/>
        <w:rPr>
          <w:sz w:val="20"/>
          <w:szCs w:val="20"/>
          <w:color w:val="auto"/>
        </w:rPr>
      </w:pPr>
      <w:r>
        <w:rPr>
          <w:rFonts w:ascii="Courier New" w:cs="Courier New" w:eastAsia="Courier New" w:hAnsi="Courier New"/>
          <w:sz w:val="18"/>
          <w:szCs w:val="18"/>
          <w:color w:val="auto"/>
        </w:rPr>
        <w:t>N/A</w:t>
      </w:r>
    </w:p>
    <w:p>
      <w:pPr>
        <w:ind w:left="2320" w:right="2619" w:hanging="2001"/>
        <w:spacing w:after="0" w:line="309" w:lineRule="auto"/>
        <w:rPr>
          <w:sz w:val="20"/>
          <w:szCs w:val="20"/>
          <w:color w:val="auto"/>
        </w:rPr>
      </w:pPr>
      <w:r>
        <w:rPr>
          <w:rFonts w:ascii="Courier New" w:cs="Courier New" w:eastAsia="Courier New" w:hAnsi="Courier New"/>
          <w:sz w:val="18"/>
          <w:szCs w:val="18"/>
          <w:color w:val="auto"/>
        </w:rPr>
        <w:t>(Former name, former address and former fiscal year, if changed since last report)</w:t>
      </w:r>
    </w:p>
    <w:p>
      <w:pPr>
        <w:spacing w:after="0" w:line="51" w:lineRule="exact"/>
        <w:rPr>
          <w:sz w:val="24"/>
          <w:szCs w:val="24"/>
          <w:color w:val="auto"/>
        </w:rPr>
      </w:pPr>
    </w:p>
    <w:p>
      <w:pPr>
        <w:ind w:right="1879"/>
        <w:spacing w:after="0" w:line="318" w:lineRule="auto"/>
        <w:rPr>
          <w:sz w:val="20"/>
          <w:szCs w:val="20"/>
          <w:color w:val="auto"/>
        </w:rPr>
      </w:pPr>
      <w:r>
        <w:rPr>
          <w:rFonts w:ascii="Courier New" w:cs="Courier New" w:eastAsia="Courier New" w:hAnsi="Courier New"/>
          <w:sz w:val="16"/>
          <w:szCs w:val="16"/>
          <w:color w:val="auto"/>
        </w:rPr>
        <w:t>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 Yes . . . No .X. .</w:t>
      </w:r>
    </w:p>
    <w:p>
      <w:pPr>
        <w:spacing w:after="0" w:line="52"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APPLICABLE ONLY TO ISSUERS INVOLVED IN BANKRUPTCY</w:t>
      </w:r>
    </w:p>
    <w:p>
      <w:pPr>
        <w:spacing w:after="0" w:line="2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PROCEEDINGS DURING THE PRECEDING FIVE YEARS</w:t>
      </w:r>
    </w:p>
    <w:p>
      <w:pPr>
        <w:ind w:right="1999"/>
        <w:spacing w:after="0" w:line="273" w:lineRule="auto"/>
        <w:rPr>
          <w:sz w:val="20"/>
          <w:szCs w:val="20"/>
          <w:color w:val="auto"/>
        </w:rPr>
      </w:pPr>
      <w:r>
        <w:rPr>
          <w:rFonts w:ascii="Courier New" w:cs="Courier New" w:eastAsia="Courier New" w:hAnsi="Courier New"/>
          <w:sz w:val="18"/>
          <w:szCs w:val="18"/>
          <w:color w:val="auto"/>
        </w:rPr>
        <w:t>Check whether the registrant filed all documents and reports required to be filed by Section 12, 13 or 15(d) of the Exchange Act after the distribution of securities under a plan confirmed by a court. Yes . . . No . . .</w:t>
      </w:r>
    </w:p>
    <w:p>
      <w:pPr>
        <w:spacing w:after="0" w:line="82"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APPLICABLE ONLY TO CORPORATE ISSUERS</w:t>
      </w:r>
    </w:p>
    <w:p>
      <w:pPr>
        <w:spacing w:after="0" w:line="31" w:lineRule="exact"/>
        <w:rPr>
          <w:sz w:val="24"/>
          <w:szCs w:val="24"/>
          <w:color w:val="auto"/>
        </w:rPr>
      </w:pPr>
    </w:p>
    <w:p>
      <w:pPr>
        <w:ind w:right="2519"/>
        <w:spacing w:after="0" w:line="273" w:lineRule="auto"/>
        <w:rPr>
          <w:sz w:val="20"/>
          <w:szCs w:val="20"/>
          <w:color w:val="auto"/>
        </w:rPr>
      </w:pPr>
      <w:r>
        <w:rPr>
          <w:rFonts w:ascii="Courier New" w:cs="Courier New" w:eastAsia="Courier New" w:hAnsi="Courier New"/>
          <w:sz w:val="18"/>
          <w:szCs w:val="18"/>
          <w:color w:val="auto"/>
        </w:rPr>
        <w:t>State the number of shares outstanding of each of the issuer's classes of common equity, as of the latest practicable date: 4,965,036 shares at June 30, 1999</w:t>
      </w:r>
    </w:p>
    <w:p>
      <w:pPr>
        <w:sectPr>
          <w:pgSz w:w="11900" w:h="16838" w:orient="portrait"/>
          <w:cols w:equalWidth="0" w:num="1">
            <w:col w:w="10219"/>
          </w:cols>
          <w:pgMar w:left="240" w:top="218" w:right="1440" w:bottom="1440" w:gutter="0" w:footer="0" w:header="0"/>
        </w:sectPr>
      </w:pPr>
    </w:p>
    <w:p>
      <w:pPr>
        <w:spacing w:after="0" w:line="8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Transitional Small Business Disclosure Format (Check one):</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91" w:lineRule="exact"/>
        <w:rPr>
          <w:sz w:val="24"/>
          <w:szCs w:val="24"/>
          <w:color w:val="auto"/>
        </w:rPr>
      </w:pPr>
    </w:p>
    <w:p>
      <w:pPr>
        <w:sectPr>
          <w:pgSz w:w="11900" w:h="16838" w:orient="portrait"/>
          <w:cols w:equalWidth="0" w:num="3">
            <w:col w:w="6120" w:space="200"/>
            <w:col w:w="1080" w:space="720"/>
            <w:col w:w="2099"/>
          </w:cols>
          <w:pgMar w:left="240" w:top="218" w:right="1440" w:bottom="1440" w:gutter="0" w:footer="0" w:header="0"/>
          <w:type w:val="continuous"/>
        </w:sectPr>
      </w:pPr>
    </w:p>
    <w:p>
      <w:pPr>
        <w:ind w:left="420"/>
        <w:spacing w:after="0"/>
        <w:rPr>
          <w:sz w:val="20"/>
          <w:szCs w:val="20"/>
          <w:color w:val="auto"/>
        </w:rPr>
      </w:pPr>
      <w:r>
        <w:rPr>
          <w:rFonts w:ascii="Courier New" w:cs="Courier New" w:eastAsia="Courier New" w:hAnsi="Courier New"/>
          <w:sz w:val="18"/>
          <w:szCs w:val="18"/>
          <w:color w:val="auto"/>
        </w:rPr>
        <w:t>X</w:t>
      </w:r>
    </w:p>
    <w:p>
      <w:pPr>
        <w:sectPr>
          <w:pgSz w:w="11900" w:h="16838" w:orient="portrait"/>
          <w:cols w:equalWidth="0" w:num="1">
            <w:col w:w="10219"/>
          </w:cols>
          <w:pgMar w:left="240" w:top="218"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PART 1. FINANCIAL INFORMATION</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 (unaudited)</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Page</w:t>
      </w:r>
    </w:p>
    <w:p>
      <w:pPr>
        <w:spacing w:after="0" w:line="29" w:lineRule="exact"/>
        <w:rPr>
          <w:sz w:val="20"/>
          <w:szCs w:val="20"/>
          <w:color w:val="auto"/>
        </w:rPr>
      </w:pPr>
    </w:p>
    <w:p>
      <w:pPr>
        <w:ind w:left="7380"/>
        <w:spacing w:after="0"/>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Balance Sheet as of June 30, 1999</w:t>
      </w:r>
    </w:p>
    <w:p>
      <w:pPr>
        <w:ind w:left="2000"/>
        <w:spacing w:after="0"/>
        <w:rPr>
          <w:sz w:val="20"/>
          <w:szCs w:val="20"/>
          <w:color w:val="auto"/>
        </w:rPr>
      </w:pPr>
      <w:r>
        <w:rPr>
          <w:rFonts w:ascii="Courier New" w:cs="Courier New" w:eastAsia="Courier New" w:hAnsi="Courier New"/>
          <w:sz w:val="18"/>
          <w:szCs w:val="18"/>
          <w:color w:val="auto"/>
        </w:rPr>
        <w:t>3</w:t>
      </w:r>
    </w:p>
    <w:p>
      <w:pPr>
        <w:spacing w:after="0" w:line="169" w:lineRule="exact"/>
        <w:rPr>
          <w:sz w:val="20"/>
          <w:szCs w:val="20"/>
          <w:color w:val="auto"/>
        </w:rPr>
      </w:pPr>
    </w:p>
    <w:p>
      <w:pPr>
        <w:ind w:left="320" w:right="4739" w:hanging="104"/>
        <w:spacing w:after="0" w:line="257" w:lineRule="auto"/>
        <w:rPr>
          <w:sz w:val="20"/>
          <w:szCs w:val="20"/>
          <w:color w:val="auto"/>
        </w:rPr>
      </w:pPr>
      <w:r>
        <w:rPr>
          <w:rFonts w:ascii="Courier New" w:cs="Courier New" w:eastAsia="Courier New" w:hAnsi="Courier New"/>
          <w:sz w:val="18"/>
          <w:szCs w:val="18"/>
          <w:color w:val="auto"/>
        </w:rPr>
        <w:t>Statements of Operations for Nine and Three Months Ended June 30, 1999 and 1998</w:t>
      </w:r>
    </w:p>
    <w:p>
      <w:pPr>
        <w:jc w:val="center"/>
        <w:ind w:right="4839"/>
        <w:spacing w:after="0"/>
        <w:rPr>
          <w:sz w:val="20"/>
          <w:szCs w:val="20"/>
          <w:color w:val="auto"/>
        </w:rPr>
      </w:pPr>
      <w:r>
        <w:rPr>
          <w:rFonts w:ascii="Courier New" w:cs="Courier New" w:eastAsia="Courier New" w:hAnsi="Courier New"/>
          <w:sz w:val="18"/>
          <w:szCs w:val="18"/>
          <w:color w:val="auto"/>
        </w:rPr>
        <w:t>4</w:t>
      </w: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Statement of Stockholders' Equity for Nine Months</w:t>
      </w:r>
    </w:p>
    <w:p>
      <w:pPr>
        <w:spacing w:after="0" w:line="31" w:lineRule="exact"/>
        <w:rPr>
          <w:sz w:val="20"/>
          <w:szCs w:val="20"/>
          <w:color w:val="auto"/>
        </w:rPr>
      </w:pPr>
    </w:p>
    <w:tbl>
      <w:tblPr>
        <w:tblLayout w:type="fixed"/>
        <w:tblInd w:w="220" w:type="dxa"/>
        <w:tblCellMar>
          <w:top w:w="0" w:type="dxa"/>
          <w:left w:w="0" w:type="dxa"/>
          <w:bottom w:w="0" w:type="dxa"/>
          <w:right w:w="0" w:type="dxa"/>
        </w:tblCellMar>
      </w:tblPr>
      <w:tr>
        <w:trPr>
          <w:trHeight w:val="296"/>
        </w:trPr>
        <w:tc>
          <w:tcPr>
            <w:tcW w:w="2220" w:type="dxa"/>
            <w:vAlign w:val="bottom"/>
          </w:tcPr>
          <w:p>
            <w:pPr>
              <w:ind w:left="100"/>
              <w:spacing w:after="0"/>
              <w:rPr>
                <w:sz w:val="20"/>
                <w:szCs w:val="20"/>
                <w:color w:val="auto"/>
              </w:rPr>
            </w:pPr>
            <w:r>
              <w:rPr>
                <w:rFonts w:ascii="Courier New" w:cs="Courier New" w:eastAsia="Courier New" w:hAnsi="Courier New"/>
                <w:sz w:val="18"/>
                <w:szCs w:val="18"/>
                <w:color w:val="auto"/>
              </w:rPr>
              <w:t>Ended June 30, 1999</w:t>
            </w:r>
          </w:p>
        </w:tc>
        <w:tc>
          <w:tcPr>
            <w:tcW w:w="546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279"/>
        </w:trPr>
        <w:tc>
          <w:tcPr>
            <w:tcW w:w="7680" w:type="dxa"/>
            <w:vAlign w:val="bottom"/>
            <w:gridSpan w:val="2"/>
          </w:tcPr>
          <w:p>
            <w:pPr>
              <w:spacing w:after="0"/>
              <w:rPr>
                <w:sz w:val="20"/>
                <w:szCs w:val="20"/>
                <w:color w:val="auto"/>
              </w:rPr>
            </w:pPr>
            <w:r>
              <w:rPr>
                <w:rFonts w:ascii="Courier New" w:cs="Courier New" w:eastAsia="Courier New" w:hAnsi="Courier New"/>
                <w:sz w:val="18"/>
                <w:szCs w:val="18"/>
                <w:color w:val="auto"/>
              </w:rPr>
              <w:t>Statements of Cash Flows for the Nine Months</w:t>
            </w:r>
          </w:p>
        </w:tc>
      </w:tr>
      <w:tr>
        <w:trPr>
          <w:trHeight w:val="296"/>
        </w:trPr>
        <w:tc>
          <w:tcPr>
            <w:tcW w:w="2220" w:type="dxa"/>
            <w:vAlign w:val="bottom"/>
          </w:tcPr>
          <w:p>
            <w:pPr>
              <w:ind w:left="100"/>
              <w:spacing w:after="0"/>
              <w:rPr>
                <w:sz w:val="20"/>
                <w:szCs w:val="20"/>
                <w:color w:val="auto"/>
              </w:rPr>
            </w:pPr>
            <w:r>
              <w:rPr>
                <w:rFonts w:ascii="Courier New" w:cs="Courier New" w:eastAsia="Courier New" w:hAnsi="Courier New"/>
                <w:sz w:val="18"/>
                <w:szCs w:val="18"/>
                <w:color w:val="auto"/>
              </w:rPr>
              <w:t>Ended June 30, 1999</w:t>
            </w:r>
          </w:p>
        </w:tc>
        <w:tc>
          <w:tcPr>
            <w:tcW w:w="5460" w:type="dxa"/>
            <w:vAlign w:val="bottom"/>
          </w:tcPr>
          <w:p>
            <w:pPr>
              <w:jc w:val="right"/>
              <w:ind w:right="4432"/>
              <w:spacing w:after="0"/>
              <w:rPr>
                <w:sz w:val="20"/>
                <w:szCs w:val="20"/>
                <w:color w:val="auto"/>
              </w:rPr>
            </w:pPr>
            <w:r>
              <w:rPr>
                <w:rFonts w:ascii="Courier New" w:cs="Courier New" w:eastAsia="Courier New" w:hAnsi="Courier New"/>
                <w:sz w:val="18"/>
                <w:szCs w:val="18"/>
                <w:color w:val="auto"/>
              </w:rPr>
              <w:t>and 1998</w:t>
            </w:r>
          </w:p>
        </w:tc>
      </w:tr>
      <w:tr>
        <w:trPr>
          <w:trHeight w:val="405"/>
        </w:trPr>
        <w:tc>
          <w:tcPr>
            <w:tcW w:w="222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6</w:t>
            </w:r>
          </w:p>
        </w:tc>
        <w:tc>
          <w:tcPr>
            <w:tcW w:w="5460" w:type="dxa"/>
            <w:vAlign w:val="bottom"/>
          </w:tcPr>
          <w:p>
            <w:pPr>
              <w:spacing w:after="0"/>
              <w:rPr>
                <w:sz w:val="24"/>
                <w:szCs w:val="24"/>
                <w:color w:val="auto"/>
              </w:rPr>
            </w:pPr>
          </w:p>
        </w:tc>
      </w:tr>
    </w:tbl>
    <w:p>
      <w:pPr>
        <w:spacing w:after="0" w:line="1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Notes to Financial Statements</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7</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Condition and Results of Operations</w:t>
      </w:r>
    </w:p>
    <w:p>
      <w:pPr>
        <w:ind w:left="2120"/>
        <w:spacing w:after="0"/>
        <w:rPr>
          <w:sz w:val="20"/>
          <w:szCs w:val="20"/>
          <w:color w:val="auto"/>
        </w:rPr>
      </w:pPr>
      <w:r>
        <w:rPr>
          <w:rFonts w:ascii="Courier New" w:cs="Courier New" w:eastAsia="Courier New" w:hAnsi="Courier New"/>
          <w:sz w:val="18"/>
          <w:szCs w:val="18"/>
          <w:color w:val="auto"/>
        </w:rPr>
        <w:t>8</w:t>
      </w:r>
    </w:p>
    <w:p>
      <w:pPr>
        <w:spacing w:after="0" w:line="37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PART 2. OTHER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10</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w:t>
      </w:r>
    </w:p>
    <w:p>
      <w:pPr>
        <w:spacing w:after="0"/>
        <w:rPr>
          <w:sz w:val="20"/>
          <w:szCs w:val="20"/>
          <w:color w:val="auto"/>
        </w:rPr>
      </w:pPr>
      <w:r>
        <w:rPr>
          <w:rFonts w:ascii="Courier New" w:cs="Courier New" w:eastAsia="Courier New" w:hAnsi="Courier New"/>
          <w:sz w:val="18"/>
          <w:szCs w:val="18"/>
          <w:color w:val="auto"/>
        </w:rPr>
        <w:t>0</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Defaults Upon Senior Securities</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10</w:t>
      </w:r>
    </w:p>
    <w:p>
      <w:pPr>
        <w:spacing w:after="0" w:line="169" w:lineRule="exact"/>
        <w:rPr>
          <w:sz w:val="20"/>
          <w:szCs w:val="20"/>
          <w:color w:val="auto"/>
        </w:rPr>
      </w:pPr>
    </w:p>
    <w:p>
      <w:pPr>
        <w:ind w:right="3899"/>
        <w:spacing w:after="0" w:line="347" w:lineRule="auto"/>
        <w:rPr>
          <w:sz w:val="20"/>
          <w:szCs w:val="20"/>
          <w:color w:val="auto"/>
        </w:rPr>
      </w:pPr>
      <w:r>
        <w:rPr>
          <w:rFonts w:ascii="Courier New" w:cs="Courier New" w:eastAsia="Courier New" w:hAnsi="Courier New"/>
          <w:sz w:val="18"/>
          <w:szCs w:val="18"/>
          <w:color w:val="auto"/>
        </w:rPr>
        <w:t>Item 4. Submission of Matters to a Vote of Security Holders 10</w:t>
      </w:r>
    </w:p>
    <w:p>
      <w:pPr>
        <w:spacing w:after="0" w:line="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Information</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10</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28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96"/>
        </w:trPr>
        <w:tc>
          <w:tcPr>
            <w:tcW w:w="474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740" w:type="dxa"/>
            <w:vAlign w:val="bottom"/>
          </w:tcPr>
          <w:p>
            <w:pPr>
              <w:ind w:left="2640"/>
              <w:spacing w:after="0"/>
              <w:rPr>
                <w:sz w:val="20"/>
                <w:szCs w:val="20"/>
                <w:color w:val="auto"/>
              </w:rPr>
            </w:pPr>
            <w:r>
              <w:rPr>
                <w:rFonts w:ascii="Courier New" w:cs="Courier New" w:eastAsia="Courier New" w:hAnsi="Courier New"/>
                <w:sz w:val="18"/>
                <w:szCs w:val="18"/>
                <w:color w:val="auto"/>
              </w:rPr>
              <w:t>INTERACTIVE INC.</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BALANCE SHEETS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June 30, 1999</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860"/>
              <w:spacing w:after="0" w:line="203" w:lineRule="exact"/>
              <w:rPr>
                <w:sz w:val="20"/>
                <w:szCs w:val="20"/>
                <w:color w:val="auto"/>
              </w:rPr>
            </w:pPr>
            <w:r>
              <w:rPr>
                <w:rFonts w:ascii="Courier New" w:cs="Courier New" w:eastAsia="Courier New" w:hAnsi="Courier New"/>
                <w:sz w:val="18"/>
                <w:szCs w:val="18"/>
                <w:color w:val="auto"/>
              </w:rPr>
              <w:t>(Unaudited)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9/30/98</w:t>
            </w:r>
          </w:p>
        </w:tc>
        <w:tc>
          <w:tcPr>
            <w:tcW w:w="0" w:type="dxa"/>
            <w:vAlign w:val="bottom"/>
          </w:tcPr>
          <w:p>
            <w:pPr>
              <w:spacing w:after="0"/>
              <w:rPr>
                <w:sz w:val="1"/>
                <w:szCs w:val="1"/>
                <w:color w:val="auto"/>
              </w:rPr>
            </w:pPr>
          </w:p>
        </w:tc>
      </w:tr>
      <w:tr>
        <w:trPr>
          <w:trHeight w:val="203"/>
        </w:trPr>
        <w:tc>
          <w:tcPr>
            <w:tcW w:w="47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ASSETS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740" w:type="dxa"/>
            <w:vAlign w:val="bottom"/>
            <w:vMerge w:val="restart"/>
          </w:tcPr>
          <w:p>
            <w:pPr>
              <w:spacing w:after="0"/>
              <w:rPr>
                <w:sz w:val="20"/>
                <w:szCs w:val="20"/>
                <w:color w:val="auto"/>
              </w:rPr>
            </w:pPr>
            <w:r>
              <w:rPr>
                <w:rFonts w:ascii="Courier New" w:cs="Courier New" w:eastAsia="Courier New" w:hAnsi="Courier New"/>
                <w:sz w:val="18"/>
                <w:szCs w:val="18"/>
                <w:color w:val="auto"/>
              </w:rPr>
              <w:t>CURRENT ASSETS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109"/>
        </w:trPr>
        <w:tc>
          <w:tcPr>
            <w:tcW w:w="4740" w:type="dxa"/>
            <w:vAlign w:val="bottom"/>
            <w:vMerge w:val="continue"/>
          </w:tcPr>
          <w:p>
            <w:pPr>
              <w:spacing w:after="0"/>
              <w:rPr>
                <w:sz w:val="9"/>
                <w:szCs w:val="9"/>
                <w:color w:val="auto"/>
              </w:rPr>
            </w:pPr>
          </w:p>
        </w:tc>
        <w:tc>
          <w:tcPr>
            <w:tcW w:w="420" w:type="dxa"/>
            <w:vAlign w:val="bottom"/>
            <w:vMerge w:val="restart"/>
          </w:tcPr>
          <w:p>
            <w:pPr>
              <w:ind w:left="320"/>
              <w:spacing w:after="0"/>
              <w:rPr>
                <w:sz w:val="20"/>
                <w:szCs w:val="20"/>
                <w:color w:val="auto"/>
              </w:rPr>
            </w:pPr>
            <w:r>
              <w:rPr>
                <w:rFonts w:ascii="Courier New" w:cs="Courier New" w:eastAsia="Courier New" w:hAnsi="Courier New"/>
                <w:sz w:val="18"/>
                <w:szCs w:val="18"/>
                <w:color w:val="auto"/>
                <w:w w:val="73"/>
              </w:rPr>
              <w:t>$</w:t>
            </w:r>
          </w:p>
        </w:tc>
        <w:tc>
          <w:tcPr>
            <w:tcW w:w="120" w:type="dxa"/>
            <w:vAlign w:val="bottom"/>
          </w:tcPr>
          <w:p>
            <w:pPr>
              <w:spacing w:after="0"/>
              <w:rPr>
                <w:sz w:val="9"/>
                <w:szCs w:val="9"/>
                <w:color w:val="auto"/>
              </w:rPr>
            </w:pPr>
          </w:p>
        </w:tc>
        <w:tc>
          <w:tcPr>
            <w:tcW w:w="13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1,151</w:t>
            </w:r>
          </w:p>
        </w:tc>
        <w:tc>
          <w:tcPr>
            <w:tcW w:w="3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w:t>
            </w:r>
          </w:p>
        </w:tc>
        <w:tc>
          <w:tcPr>
            <w:tcW w:w="12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1,018</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3,454</w:t>
            </w:r>
          </w:p>
        </w:tc>
        <w:tc>
          <w:tcPr>
            <w:tcW w:w="38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4,175</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20,948</w:t>
            </w:r>
          </w:p>
        </w:tc>
        <w:tc>
          <w:tcPr>
            <w:tcW w:w="38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22,480</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1,215</w:t>
            </w:r>
          </w:p>
        </w:tc>
        <w:tc>
          <w:tcPr>
            <w:tcW w:w="38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1,837</w:t>
            </w:r>
          </w:p>
        </w:tc>
        <w:tc>
          <w:tcPr>
            <w:tcW w:w="0" w:type="dxa"/>
            <w:vAlign w:val="bottom"/>
          </w:tcPr>
          <w:p>
            <w:pPr>
              <w:spacing w:after="0"/>
              <w:rPr>
                <w:sz w:val="1"/>
                <w:szCs w:val="1"/>
                <w:color w:val="auto"/>
              </w:rPr>
            </w:pPr>
          </w:p>
        </w:tc>
      </w:tr>
      <w:tr>
        <w:trPr>
          <w:trHeight w:val="203"/>
        </w:trPr>
        <w:tc>
          <w:tcPr>
            <w:tcW w:w="4740" w:type="dxa"/>
            <w:vAlign w:val="bottom"/>
            <w:vMerge w:val="restart"/>
          </w:tcPr>
          <w:p>
            <w:pPr>
              <w:ind w:left="1160"/>
              <w:spacing w:after="0"/>
              <w:rPr>
                <w:sz w:val="20"/>
                <w:szCs w:val="20"/>
                <w:color w:val="auto"/>
              </w:rPr>
            </w:pPr>
            <w:r>
              <w:rPr>
                <w:rFonts w:ascii="Courier New" w:cs="Courier New" w:eastAsia="Courier New" w:hAnsi="Courier New"/>
                <w:sz w:val="18"/>
                <w:szCs w:val="18"/>
                <w:color w:val="auto"/>
              </w:rPr>
              <w:t>Total current assets</w:t>
            </w:r>
          </w:p>
        </w:tc>
        <w:tc>
          <w:tcPr>
            <w:tcW w:w="540" w:type="dxa"/>
            <w:vAlign w:val="bottom"/>
            <w:gridSpan w:val="2"/>
            <w:vMerge w:val="restart"/>
          </w:tcPr>
          <w:p>
            <w:pPr>
              <w:ind w:left="320"/>
              <w:spacing w:after="0"/>
              <w:rPr>
                <w:sz w:val="20"/>
                <w:szCs w:val="20"/>
                <w:color w:val="auto"/>
              </w:rPr>
            </w:pPr>
            <w:r>
              <w:rPr>
                <w:rFonts w:ascii="Courier New" w:cs="Courier New" w:eastAsia="Courier New" w:hAnsi="Courier New"/>
                <w:sz w:val="6"/>
                <w:szCs w:val="6"/>
                <w:color w:val="auto"/>
                <w:w w:val="77"/>
                <w:vertAlign w:val="subscript"/>
              </w:rPr>
              <w:t>$</w:t>
            </w:r>
            <w:r>
              <w:rPr>
                <w:rFonts w:ascii="Courier New" w:cs="Courier New" w:eastAsia="Courier New" w:hAnsi="Courier New"/>
                <w:sz w:val="3"/>
                <w:szCs w:val="3"/>
                <w:color w:val="auto"/>
                <w:w w:val="77"/>
              </w:rPr>
              <w:t>-------------</w:t>
            </w:r>
          </w:p>
        </w:tc>
        <w:tc>
          <w:tcPr>
            <w:tcW w:w="13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26,767</w:t>
            </w:r>
          </w:p>
        </w:tc>
        <w:tc>
          <w:tcPr>
            <w:tcW w:w="1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474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31,106</w:t>
            </w:r>
          </w:p>
        </w:tc>
        <w:tc>
          <w:tcPr>
            <w:tcW w:w="0" w:type="dxa"/>
            <w:vAlign w:val="bottom"/>
          </w:tcPr>
          <w:p>
            <w:pPr>
              <w:spacing w:after="0"/>
              <w:rPr>
                <w:sz w:val="1"/>
                <w:szCs w:val="1"/>
                <w:color w:val="auto"/>
              </w:rPr>
            </w:pPr>
          </w:p>
        </w:tc>
      </w:tr>
      <w:tr>
        <w:trPr>
          <w:trHeight w:val="296"/>
        </w:trPr>
        <w:tc>
          <w:tcPr>
            <w:tcW w:w="4740" w:type="dxa"/>
            <w:vAlign w:val="bottom"/>
          </w:tcPr>
          <w:p>
            <w:pPr>
              <w:spacing w:after="0"/>
              <w:rPr>
                <w:sz w:val="24"/>
                <w:szCs w:val="24"/>
                <w:color w:val="auto"/>
              </w:rPr>
            </w:pPr>
          </w:p>
        </w:tc>
        <w:tc>
          <w:tcPr>
            <w:tcW w:w="540" w:type="dxa"/>
            <w:vAlign w:val="bottom"/>
            <w:gridSpan w:val="2"/>
          </w:tcPr>
          <w:p>
            <w:pPr>
              <w:ind w:left="320"/>
              <w:spacing w:after="0"/>
              <w:rPr>
                <w:sz w:val="20"/>
                <w:szCs w:val="20"/>
                <w:color w:val="auto"/>
              </w:rPr>
            </w:pPr>
            <w:r>
              <w:rPr>
                <w:rFonts w:ascii="Courier New" w:cs="Courier New" w:eastAsia="Courier New" w:hAnsi="Courier New"/>
                <w:sz w:val="3"/>
                <w:szCs w:val="3"/>
                <w:color w:val="auto"/>
                <w:w w:val="85"/>
              </w:rPr>
              <w:t>-------------</w:t>
            </w:r>
          </w:p>
        </w:tc>
        <w:tc>
          <w:tcPr>
            <w:tcW w:w="1360" w:type="dxa"/>
            <w:vAlign w:val="bottom"/>
          </w:tcPr>
          <w:p>
            <w:pPr>
              <w:spacing w:after="0"/>
              <w:rPr>
                <w:sz w:val="24"/>
                <w:szCs w:val="24"/>
                <w:color w:val="auto"/>
              </w:rPr>
            </w:pPr>
          </w:p>
        </w:tc>
        <w:tc>
          <w:tcPr>
            <w:tcW w:w="15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311"/>
        </w:trPr>
        <w:tc>
          <w:tcPr>
            <w:tcW w:w="4740" w:type="dxa"/>
            <w:vAlign w:val="bottom"/>
          </w:tcPr>
          <w:p>
            <w:pPr>
              <w:spacing w:after="0"/>
              <w:rPr>
                <w:sz w:val="20"/>
                <w:szCs w:val="20"/>
                <w:color w:val="auto"/>
              </w:rPr>
            </w:pPr>
            <w:r>
              <w:rPr>
                <w:rFonts w:ascii="Courier New" w:cs="Courier New" w:eastAsia="Courier New" w:hAnsi="Courier New"/>
                <w:sz w:val="18"/>
                <w:szCs w:val="18"/>
                <w:color w:val="auto"/>
              </w:rPr>
              <w:t>PROPERTY AND EQUIPMENT, at cost</w:t>
            </w:r>
          </w:p>
        </w:tc>
        <w:tc>
          <w:tcPr>
            <w:tcW w:w="420" w:type="dxa"/>
            <w:vAlign w:val="bottom"/>
            <w:vMerge w:val="restart"/>
          </w:tcPr>
          <w:p>
            <w:pPr>
              <w:ind w:left="320"/>
              <w:spacing w:after="0"/>
              <w:rPr>
                <w:sz w:val="20"/>
                <w:szCs w:val="20"/>
                <w:color w:val="auto"/>
              </w:rPr>
            </w:pPr>
            <w:r>
              <w:rPr>
                <w:rFonts w:ascii="Courier New" w:cs="Courier New" w:eastAsia="Courier New" w:hAnsi="Courier New"/>
                <w:sz w:val="18"/>
                <w:szCs w:val="18"/>
                <w:color w:val="auto"/>
                <w:w w:val="73"/>
              </w:rPr>
              <w:t>$</w:t>
            </w:r>
          </w:p>
        </w:tc>
        <w:tc>
          <w:tcPr>
            <w:tcW w:w="120" w:type="dxa"/>
            <w:vAlign w:val="bottom"/>
          </w:tcPr>
          <w:p>
            <w:pPr>
              <w:spacing w:after="0"/>
              <w:rPr>
                <w:sz w:val="24"/>
                <w:szCs w:val="24"/>
                <w:color w:val="auto"/>
              </w:rPr>
            </w:pPr>
          </w:p>
        </w:tc>
        <w:tc>
          <w:tcPr>
            <w:tcW w:w="13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1,962</w:t>
            </w:r>
          </w:p>
        </w:tc>
        <w:tc>
          <w:tcPr>
            <w:tcW w:w="3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w:t>
            </w:r>
          </w:p>
        </w:tc>
        <w:tc>
          <w:tcPr>
            <w:tcW w:w="12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1,962</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w:t>
            </w:r>
          </w:p>
        </w:tc>
        <w:tc>
          <w:tcPr>
            <w:tcW w:w="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 and improvements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84,962</w:t>
            </w:r>
          </w:p>
        </w:tc>
        <w:tc>
          <w:tcPr>
            <w:tcW w:w="38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84,962</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Computer and office equipment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54,246</w:t>
            </w:r>
          </w:p>
        </w:tc>
        <w:tc>
          <w:tcPr>
            <w:tcW w:w="38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54,246</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540" w:type="dxa"/>
            <w:vAlign w:val="bottom"/>
            <w:gridSpan w:val="2"/>
            <w:vMerge w:val="restart"/>
          </w:tcPr>
          <w:p>
            <w:pPr>
              <w:ind w:left="320"/>
              <w:spacing w:after="0"/>
              <w:rPr>
                <w:sz w:val="20"/>
                <w:szCs w:val="20"/>
                <w:color w:val="auto"/>
              </w:rPr>
            </w:pPr>
            <w:r>
              <w:rPr>
                <w:rFonts w:ascii="Courier New" w:cs="Courier New" w:eastAsia="Courier New" w:hAnsi="Courier New"/>
                <w:sz w:val="6"/>
                <w:szCs w:val="6"/>
                <w:color w:val="auto"/>
                <w:w w:val="77"/>
                <w:vertAlign w:val="subscript"/>
              </w:rPr>
              <w:t>$</w:t>
            </w:r>
            <w:r>
              <w:rPr>
                <w:rFonts w:ascii="Courier New" w:cs="Courier New" w:eastAsia="Courier New" w:hAnsi="Courier New"/>
                <w:sz w:val="3"/>
                <w:szCs w:val="3"/>
                <w:color w:val="auto"/>
                <w:w w:val="77"/>
              </w:rPr>
              <w:t>-------------</w:t>
            </w:r>
          </w:p>
        </w:tc>
        <w:tc>
          <w:tcPr>
            <w:tcW w:w="13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141,170</w:t>
            </w:r>
          </w:p>
        </w:tc>
        <w:tc>
          <w:tcPr>
            <w:tcW w:w="1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141,170</w:t>
            </w:r>
          </w:p>
        </w:tc>
        <w:tc>
          <w:tcPr>
            <w:tcW w:w="0" w:type="dxa"/>
            <w:vAlign w:val="bottom"/>
          </w:tcPr>
          <w:p>
            <w:pPr>
              <w:spacing w:after="0"/>
              <w:rPr>
                <w:sz w:val="1"/>
                <w:szCs w:val="1"/>
                <w:color w:val="auto"/>
              </w:rPr>
            </w:pPr>
          </w:p>
        </w:tc>
      </w:tr>
      <w:tr>
        <w:trPr>
          <w:trHeight w:val="203"/>
        </w:trPr>
        <w:tc>
          <w:tcPr>
            <w:tcW w:w="474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Less accumulated depreciation</w:t>
            </w:r>
          </w:p>
        </w:tc>
        <w:tc>
          <w:tcPr>
            <w:tcW w:w="540" w:type="dxa"/>
            <w:vAlign w:val="bottom"/>
            <w:gridSpan w:val="2"/>
          </w:tcPr>
          <w:p>
            <w:pPr>
              <w:ind w:left="320"/>
              <w:spacing w:after="0"/>
              <w:rPr>
                <w:sz w:val="20"/>
                <w:szCs w:val="20"/>
                <w:color w:val="auto"/>
              </w:rPr>
            </w:pPr>
            <w:r>
              <w:rPr>
                <w:rFonts w:ascii="Courier New" w:cs="Courier New" w:eastAsia="Courier New" w:hAnsi="Courier New"/>
                <w:sz w:val="3"/>
                <w:szCs w:val="3"/>
                <w:color w:val="auto"/>
                <w:w w:val="85"/>
              </w:rPr>
              <w:t>-------------</w:t>
            </w:r>
          </w:p>
        </w:tc>
        <w:tc>
          <w:tcPr>
            <w:tcW w:w="13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96,782</w:t>
            </w:r>
          </w:p>
        </w:tc>
        <w:tc>
          <w:tcPr>
            <w:tcW w:w="1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47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92,032</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540" w:type="dxa"/>
            <w:vAlign w:val="bottom"/>
            <w:gridSpan w:val="2"/>
            <w:vMerge w:val="restart"/>
          </w:tcPr>
          <w:p>
            <w:pPr>
              <w:ind w:left="320"/>
              <w:spacing w:after="0"/>
              <w:rPr>
                <w:sz w:val="20"/>
                <w:szCs w:val="20"/>
                <w:color w:val="auto"/>
              </w:rPr>
            </w:pPr>
            <w:r>
              <w:rPr>
                <w:rFonts w:ascii="Courier New" w:cs="Courier New" w:eastAsia="Courier New" w:hAnsi="Courier New"/>
                <w:sz w:val="6"/>
                <w:szCs w:val="6"/>
                <w:color w:val="auto"/>
                <w:w w:val="77"/>
                <w:vertAlign w:val="subscript"/>
              </w:rPr>
              <w:t>$</w:t>
            </w:r>
            <w:r>
              <w:rPr>
                <w:rFonts w:ascii="Courier New" w:cs="Courier New" w:eastAsia="Courier New" w:hAnsi="Courier New"/>
                <w:sz w:val="3"/>
                <w:szCs w:val="3"/>
                <w:color w:val="auto"/>
                <w:w w:val="77"/>
              </w:rPr>
              <w:t>-------------</w:t>
            </w:r>
          </w:p>
        </w:tc>
        <w:tc>
          <w:tcPr>
            <w:tcW w:w="13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44,388</w:t>
            </w:r>
          </w:p>
        </w:tc>
        <w:tc>
          <w:tcPr>
            <w:tcW w:w="1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49,138</w:t>
            </w:r>
          </w:p>
        </w:tc>
        <w:tc>
          <w:tcPr>
            <w:tcW w:w="0" w:type="dxa"/>
            <w:vAlign w:val="bottom"/>
          </w:tcPr>
          <w:p>
            <w:pPr>
              <w:spacing w:after="0"/>
              <w:rPr>
                <w:sz w:val="1"/>
                <w:szCs w:val="1"/>
                <w:color w:val="auto"/>
              </w:rPr>
            </w:pPr>
          </w:p>
        </w:tc>
      </w:tr>
      <w:tr>
        <w:trPr>
          <w:trHeight w:val="296"/>
        </w:trPr>
        <w:tc>
          <w:tcPr>
            <w:tcW w:w="4740" w:type="dxa"/>
            <w:vAlign w:val="bottom"/>
          </w:tcPr>
          <w:p>
            <w:pPr>
              <w:spacing w:after="0"/>
              <w:rPr>
                <w:sz w:val="24"/>
                <w:szCs w:val="24"/>
                <w:color w:val="auto"/>
              </w:rPr>
            </w:pPr>
          </w:p>
        </w:tc>
        <w:tc>
          <w:tcPr>
            <w:tcW w:w="540" w:type="dxa"/>
            <w:vAlign w:val="bottom"/>
            <w:gridSpan w:val="2"/>
          </w:tcPr>
          <w:p>
            <w:pPr>
              <w:ind w:left="320"/>
              <w:spacing w:after="0"/>
              <w:rPr>
                <w:sz w:val="20"/>
                <w:szCs w:val="20"/>
                <w:color w:val="auto"/>
              </w:rPr>
            </w:pPr>
            <w:r>
              <w:rPr>
                <w:rFonts w:ascii="Courier New" w:cs="Courier New" w:eastAsia="Courier New" w:hAnsi="Courier New"/>
                <w:sz w:val="3"/>
                <w:szCs w:val="3"/>
                <w:color w:val="auto"/>
                <w:w w:val="85"/>
              </w:rPr>
              <w:t>-------------</w:t>
            </w:r>
          </w:p>
        </w:tc>
        <w:tc>
          <w:tcPr>
            <w:tcW w:w="1360" w:type="dxa"/>
            <w:vAlign w:val="bottom"/>
          </w:tcPr>
          <w:p>
            <w:pPr>
              <w:spacing w:after="0"/>
              <w:rPr>
                <w:sz w:val="24"/>
                <w:szCs w:val="24"/>
                <w:color w:val="auto"/>
              </w:rPr>
            </w:pPr>
          </w:p>
        </w:tc>
        <w:tc>
          <w:tcPr>
            <w:tcW w:w="15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311"/>
        </w:trPr>
        <w:tc>
          <w:tcPr>
            <w:tcW w:w="4740" w:type="dxa"/>
            <w:vAlign w:val="bottom"/>
          </w:tcPr>
          <w:p>
            <w:pPr>
              <w:spacing w:after="0"/>
              <w:rPr>
                <w:sz w:val="20"/>
                <w:szCs w:val="20"/>
                <w:color w:val="auto"/>
              </w:rPr>
            </w:pPr>
            <w:r>
              <w:rPr>
                <w:rFonts w:ascii="Courier New" w:cs="Courier New" w:eastAsia="Courier New" w:hAnsi="Courier New"/>
                <w:sz w:val="18"/>
                <w:szCs w:val="18"/>
                <w:color w:val="auto"/>
              </w:rPr>
              <w:t>OTHER ASSETS, at cost</w:t>
            </w:r>
          </w:p>
        </w:tc>
        <w:tc>
          <w:tcPr>
            <w:tcW w:w="420" w:type="dxa"/>
            <w:vAlign w:val="bottom"/>
            <w:vMerge w:val="restart"/>
          </w:tcPr>
          <w:p>
            <w:pPr>
              <w:ind w:left="320"/>
              <w:spacing w:after="0"/>
              <w:rPr>
                <w:sz w:val="20"/>
                <w:szCs w:val="20"/>
                <w:color w:val="auto"/>
              </w:rPr>
            </w:pPr>
            <w:r>
              <w:rPr>
                <w:rFonts w:ascii="Courier New" w:cs="Courier New" w:eastAsia="Courier New" w:hAnsi="Courier New"/>
                <w:sz w:val="18"/>
                <w:szCs w:val="18"/>
                <w:color w:val="auto"/>
                <w:w w:val="73"/>
              </w:rPr>
              <w:t>$</w:t>
            </w:r>
          </w:p>
        </w:tc>
        <w:tc>
          <w:tcPr>
            <w:tcW w:w="120" w:type="dxa"/>
            <w:vAlign w:val="bottom"/>
          </w:tcPr>
          <w:p>
            <w:pPr>
              <w:spacing w:after="0"/>
              <w:rPr>
                <w:sz w:val="24"/>
                <w:szCs w:val="24"/>
                <w:color w:val="auto"/>
              </w:rPr>
            </w:pPr>
          </w:p>
        </w:tc>
        <w:tc>
          <w:tcPr>
            <w:tcW w:w="13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253,971</w:t>
            </w:r>
          </w:p>
        </w:tc>
        <w:tc>
          <w:tcPr>
            <w:tcW w:w="3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w:t>
            </w:r>
          </w:p>
        </w:tc>
        <w:tc>
          <w:tcPr>
            <w:tcW w:w="12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253,971</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w:t>
            </w:r>
          </w:p>
        </w:tc>
        <w:tc>
          <w:tcPr>
            <w:tcW w:w="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accumulated amortization</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244,064</w:t>
            </w:r>
          </w:p>
        </w:tc>
        <w:tc>
          <w:tcPr>
            <w:tcW w:w="38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247,838</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540" w:type="dxa"/>
            <w:vAlign w:val="bottom"/>
            <w:gridSpan w:val="2"/>
            <w:vMerge w:val="restart"/>
          </w:tcPr>
          <w:p>
            <w:pPr>
              <w:ind w:left="320"/>
              <w:spacing w:after="0"/>
              <w:rPr>
                <w:sz w:val="20"/>
                <w:szCs w:val="20"/>
                <w:color w:val="auto"/>
              </w:rPr>
            </w:pPr>
            <w:r>
              <w:rPr>
                <w:rFonts w:ascii="Courier New" w:cs="Courier New" w:eastAsia="Courier New" w:hAnsi="Courier New"/>
                <w:sz w:val="6"/>
                <w:szCs w:val="6"/>
                <w:color w:val="auto"/>
                <w:w w:val="77"/>
                <w:vertAlign w:val="subscript"/>
              </w:rPr>
              <w:t>$</w:t>
            </w:r>
            <w:r>
              <w:rPr>
                <w:rFonts w:ascii="Courier New" w:cs="Courier New" w:eastAsia="Courier New" w:hAnsi="Courier New"/>
                <w:sz w:val="3"/>
                <w:szCs w:val="3"/>
                <w:color w:val="auto"/>
                <w:w w:val="77"/>
              </w:rPr>
              <w:t>-------------</w:t>
            </w:r>
          </w:p>
        </w:tc>
        <w:tc>
          <w:tcPr>
            <w:tcW w:w="13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5,907</w:t>
            </w:r>
          </w:p>
        </w:tc>
        <w:tc>
          <w:tcPr>
            <w:tcW w:w="1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6,132</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540" w:type="dxa"/>
            <w:vAlign w:val="bottom"/>
            <w:gridSpan w:val="2"/>
            <w:vMerge w:val="restart"/>
          </w:tcPr>
          <w:p>
            <w:pPr>
              <w:ind w:left="320"/>
              <w:spacing w:after="0"/>
              <w:rPr>
                <w:sz w:val="20"/>
                <w:szCs w:val="20"/>
                <w:color w:val="auto"/>
              </w:rPr>
            </w:pPr>
            <w:r>
              <w:rPr>
                <w:rFonts w:ascii="Courier New" w:cs="Courier New" w:eastAsia="Courier New" w:hAnsi="Courier New"/>
                <w:sz w:val="6"/>
                <w:szCs w:val="6"/>
                <w:color w:val="auto"/>
                <w:w w:val="77"/>
                <w:vertAlign w:val="subscript"/>
              </w:rPr>
              <w:t>$</w:t>
            </w:r>
            <w:r>
              <w:rPr>
                <w:rFonts w:ascii="Courier New" w:cs="Courier New" w:eastAsia="Courier New" w:hAnsi="Courier New"/>
                <w:sz w:val="3"/>
                <w:szCs w:val="3"/>
                <w:color w:val="auto"/>
                <w:w w:val="77"/>
              </w:rPr>
              <w:t>-------------</w:t>
            </w:r>
          </w:p>
        </w:tc>
        <w:tc>
          <w:tcPr>
            <w:tcW w:w="13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77,062</w:t>
            </w:r>
          </w:p>
        </w:tc>
        <w:tc>
          <w:tcPr>
            <w:tcW w:w="1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84,780</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540" w:type="dxa"/>
            <w:vAlign w:val="bottom"/>
            <w:gridSpan w:val="2"/>
          </w:tcPr>
          <w:p>
            <w:pPr>
              <w:ind w:left="320"/>
              <w:spacing w:after="0"/>
              <w:rPr>
                <w:sz w:val="20"/>
                <w:szCs w:val="20"/>
                <w:color w:val="auto"/>
              </w:rPr>
            </w:pPr>
            <w:r>
              <w:rPr>
                <w:rFonts w:ascii="Courier New" w:cs="Courier New" w:eastAsia="Courier New" w:hAnsi="Courier New"/>
                <w:sz w:val="3"/>
                <w:szCs w:val="3"/>
                <w:color w:val="auto"/>
                <w:w w:val="85"/>
              </w:rPr>
              <w:t>-------------</w:t>
            </w:r>
          </w:p>
        </w:tc>
        <w:tc>
          <w:tcPr>
            <w:tcW w:w="1360" w:type="dxa"/>
            <w:vAlign w:val="bottom"/>
          </w:tcPr>
          <w:p>
            <w:pPr>
              <w:spacing w:after="0"/>
              <w:rPr>
                <w:sz w:val="17"/>
                <w:szCs w:val="17"/>
                <w:color w:val="auto"/>
              </w:rPr>
            </w:pPr>
          </w:p>
        </w:tc>
        <w:tc>
          <w:tcPr>
            <w:tcW w:w="1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96"/>
        </w:trPr>
        <w:tc>
          <w:tcPr>
            <w:tcW w:w="4740" w:type="dxa"/>
            <w:vAlign w:val="bottom"/>
            <w:vMerge w:val="restart"/>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540" w:type="dxa"/>
            <w:vAlign w:val="bottom"/>
            <w:gridSpan w:val="2"/>
          </w:tcPr>
          <w:p>
            <w:pPr>
              <w:ind w:left="320"/>
              <w:spacing w:after="0"/>
              <w:rPr>
                <w:sz w:val="20"/>
                <w:szCs w:val="20"/>
                <w:color w:val="auto"/>
              </w:rPr>
            </w:pPr>
            <w:r>
              <w:rPr>
                <w:rFonts w:ascii="Courier New" w:cs="Courier New" w:eastAsia="Courier New" w:hAnsi="Courier New"/>
                <w:sz w:val="3"/>
                <w:szCs w:val="3"/>
                <w:color w:val="auto"/>
                <w:w w:val="85"/>
              </w:rPr>
              <w:t>-------------</w:t>
            </w:r>
          </w:p>
        </w:tc>
        <w:tc>
          <w:tcPr>
            <w:tcW w:w="1360" w:type="dxa"/>
            <w:vAlign w:val="bottom"/>
          </w:tcPr>
          <w:p>
            <w:pPr>
              <w:spacing w:after="0"/>
              <w:rPr>
                <w:sz w:val="24"/>
                <w:szCs w:val="24"/>
                <w:color w:val="auto"/>
              </w:rPr>
            </w:pPr>
          </w:p>
        </w:tc>
        <w:tc>
          <w:tcPr>
            <w:tcW w:w="15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109"/>
        </w:trPr>
        <w:tc>
          <w:tcPr>
            <w:tcW w:w="47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420" w:type="dxa"/>
            <w:vAlign w:val="bottom"/>
            <w:vMerge w:val="restart"/>
          </w:tcPr>
          <w:p>
            <w:pPr>
              <w:ind w:left="320"/>
              <w:spacing w:after="0"/>
              <w:rPr>
                <w:sz w:val="20"/>
                <w:szCs w:val="20"/>
                <w:color w:val="auto"/>
              </w:rPr>
            </w:pPr>
            <w:r>
              <w:rPr>
                <w:rFonts w:ascii="Courier New" w:cs="Courier New" w:eastAsia="Courier New" w:hAnsi="Courier New"/>
                <w:sz w:val="18"/>
                <w:szCs w:val="18"/>
                <w:color w:val="auto"/>
                <w:w w:val="73"/>
              </w:rPr>
              <w:t>$</w:t>
            </w:r>
          </w:p>
        </w:tc>
        <w:tc>
          <w:tcPr>
            <w:tcW w:w="120" w:type="dxa"/>
            <w:vAlign w:val="bottom"/>
          </w:tcPr>
          <w:p>
            <w:pPr>
              <w:spacing w:after="0"/>
              <w:rPr>
                <w:sz w:val="17"/>
                <w:szCs w:val="17"/>
                <w:color w:val="auto"/>
              </w:rPr>
            </w:pPr>
          </w:p>
        </w:tc>
        <w:tc>
          <w:tcPr>
            <w:tcW w:w="13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500,000</w:t>
            </w:r>
          </w:p>
        </w:tc>
        <w:tc>
          <w:tcPr>
            <w:tcW w:w="3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w:t>
            </w:r>
          </w:p>
        </w:tc>
        <w:tc>
          <w:tcPr>
            <w:tcW w:w="12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758,500</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Notes payable, related parties</w:t>
            </w:r>
          </w:p>
        </w:tc>
        <w:tc>
          <w:tcPr>
            <w:tcW w:w="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22,004</w:t>
            </w:r>
          </w:p>
        </w:tc>
        <w:tc>
          <w:tcPr>
            <w:tcW w:w="38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266,436</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 trade</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161,405</w:t>
            </w:r>
          </w:p>
        </w:tc>
        <w:tc>
          <w:tcPr>
            <w:tcW w:w="38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1,139,015</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 trade,</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380" w:type="dxa"/>
            <w:vAlign w:val="bottom"/>
          </w:tcPr>
          <w:p>
            <w:pPr>
              <w:spacing w:after="0"/>
              <w:rPr>
                <w:sz w:val="17"/>
                <w:szCs w:val="17"/>
                <w:color w:val="auto"/>
              </w:rPr>
            </w:pPr>
          </w:p>
        </w:tc>
        <w:tc>
          <w:tcPr>
            <w:tcW w:w="12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296,297</w:t>
            </w:r>
          </w:p>
        </w:tc>
        <w:tc>
          <w:tcPr>
            <w:tcW w:w="0" w:type="dxa"/>
            <w:vAlign w:val="bottom"/>
          </w:tcPr>
          <w:p>
            <w:pPr>
              <w:spacing w:after="0"/>
              <w:rPr>
                <w:sz w:val="1"/>
                <w:szCs w:val="1"/>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Torrey Pines Research, Inc.</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292,694</w:t>
            </w:r>
          </w:p>
        </w:tc>
        <w:tc>
          <w:tcPr>
            <w:tcW w:w="38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207,277</w:t>
            </w:r>
          </w:p>
        </w:tc>
        <w:tc>
          <w:tcPr>
            <w:tcW w:w="0" w:type="dxa"/>
            <w:vAlign w:val="bottom"/>
          </w:tcPr>
          <w:p>
            <w:pPr>
              <w:spacing w:after="0"/>
              <w:rPr>
                <w:sz w:val="1"/>
                <w:szCs w:val="1"/>
                <w:color w:val="auto"/>
              </w:rPr>
            </w:pPr>
          </w:p>
        </w:tc>
      </w:tr>
      <w:tr>
        <w:trPr>
          <w:trHeight w:val="203"/>
        </w:trPr>
        <w:tc>
          <w:tcPr>
            <w:tcW w:w="4740" w:type="dxa"/>
            <w:vAlign w:val="bottom"/>
            <w:vMerge w:val="restart"/>
          </w:tcPr>
          <w:p>
            <w:pPr>
              <w:ind w:left="1160"/>
              <w:spacing w:after="0"/>
              <w:rPr>
                <w:sz w:val="20"/>
                <w:szCs w:val="20"/>
                <w:color w:val="auto"/>
              </w:rPr>
            </w:pPr>
            <w:r>
              <w:rPr>
                <w:rFonts w:ascii="Courier New" w:cs="Courier New" w:eastAsia="Courier New" w:hAnsi="Courier New"/>
                <w:sz w:val="18"/>
                <w:szCs w:val="18"/>
                <w:color w:val="auto"/>
              </w:rPr>
              <w:t>Total current liabilities</w:t>
            </w:r>
          </w:p>
        </w:tc>
        <w:tc>
          <w:tcPr>
            <w:tcW w:w="540" w:type="dxa"/>
            <w:vAlign w:val="bottom"/>
            <w:gridSpan w:val="2"/>
            <w:vMerge w:val="restart"/>
          </w:tcPr>
          <w:p>
            <w:pPr>
              <w:ind w:left="320"/>
              <w:spacing w:after="0"/>
              <w:rPr>
                <w:sz w:val="20"/>
                <w:szCs w:val="20"/>
                <w:color w:val="auto"/>
              </w:rPr>
            </w:pPr>
            <w:r>
              <w:rPr>
                <w:rFonts w:ascii="Courier New" w:cs="Courier New" w:eastAsia="Courier New" w:hAnsi="Courier New"/>
                <w:sz w:val="6"/>
                <w:szCs w:val="6"/>
                <w:color w:val="auto"/>
                <w:w w:val="77"/>
                <w:vertAlign w:val="subscript"/>
              </w:rPr>
              <w:t>$</w:t>
            </w:r>
            <w:r>
              <w:rPr>
                <w:rFonts w:ascii="Courier New" w:cs="Courier New" w:eastAsia="Courier New" w:hAnsi="Courier New"/>
                <w:sz w:val="3"/>
                <w:szCs w:val="3"/>
                <w:color w:val="auto"/>
                <w:w w:val="77"/>
              </w:rPr>
              <w:t>-------------</w:t>
            </w:r>
          </w:p>
        </w:tc>
        <w:tc>
          <w:tcPr>
            <w:tcW w:w="13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976,103</w:t>
            </w:r>
          </w:p>
        </w:tc>
        <w:tc>
          <w:tcPr>
            <w:tcW w:w="1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474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2,667,474</w:t>
            </w:r>
          </w:p>
        </w:tc>
        <w:tc>
          <w:tcPr>
            <w:tcW w:w="0" w:type="dxa"/>
            <w:vAlign w:val="bottom"/>
          </w:tcPr>
          <w:p>
            <w:pPr>
              <w:spacing w:after="0"/>
              <w:rPr>
                <w:sz w:val="1"/>
                <w:szCs w:val="1"/>
                <w:color w:val="auto"/>
              </w:rPr>
            </w:pPr>
          </w:p>
        </w:tc>
      </w:tr>
      <w:tr>
        <w:trPr>
          <w:trHeight w:val="296"/>
        </w:trPr>
        <w:tc>
          <w:tcPr>
            <w:tcW w:w="4740" w:type="dxa"/>
            <w:vAlign w:val="bottom"/>
          </w:tcPr>
          <w:p>
            <w:pPr>
              <w:spacing w:after="0"/>
              <w:rPr>
                <w:sz w:val="24"/>
                <w:szCs w:val="24"/>
                <w:color w:val="auto"/>
              </w:rPr>
            </w:pPr>
          </w:p>
        </w:tc>
        <w:tc>
          <w:tcPr>
            <w:tcW w:w="540" w:type="dxa"/>
            <w:vAlign w:val="bottom"/>
            <w:gridSpan w:val="2"/>
          </w:tcPr>
          <w:p>
            <w:pPr>
              <w:ind w:left="320"/>
              <w:spacing w:after="0"/>
              <w:rPr>
                <w:sz w:val="20"/>
                <w:szCs w:val="20"/>
                <w:color w:val="auto"/>
              </w:rPr>
            </w:pPr>
            <w:r>
              <w:rPr>
                <w:rFonts w:ascii="Courier New" w:cs="Courier New" w:eastAsia="Courier New" w:hAnsi="Courier New"/>
                <w:sz w:val="3"/>
                <w:szCs w:val="3"/>
                <w:color w:val="auto"/>
                <w:w w:val="85"/>
              </w:rPr>
              <w:t>-------------</w:t>
            </w:r>
          </w:p>
        </w:tc>
        <w:tc>
          <w:tcPr>
            <w:tcW w:w="1360" w:type="dxa"/>
            <w:vAlign w:val="bottom"/>
          </w:tcPr>
          <w:p>
            <w:pPr>
              <w:spacing w:after="0"/>
              <w:rPr>
                <w:sz w:val="24"/>
                <w:szCs w:val="24"/>
                <w:color w:val="auto"/>
              </w:rPr>
            </w:pPr>
          </w:p>
        </w:tc>
        <w:tc>
          <w:tcPr>
            <w:tcW w:w="15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420" w:type="dxa"/>
            <w:vAlign w:val="bottom"/>
            <w:vMerge w:val="restart"/>
          </w:tcPr>
          <w:p>
            <w:pPr>
              <w:ind w:left="320"/>
              <w:spacing w:after="0"/>
              <w:rPr>
                <w:sz w:val="20"/>
                <w:szCs w:val="20"/>
                <w:color w:val="auto"/>
              </w:rPr>
            </w:pPr>
            <w:r>
              <w:rPr>
                <w:rFonts w:ascii="Courier New" w:cs="Courier New" w:eastAsia="Courier New" w:hAnsi="Courier New"/>
                <w:sz w:val="18"/>
                <w:szCs w:val="18"/>
                <w:color w:val="auto"/>
                <w:w w:val="73"/>
              </w:rPr>
              <w:t>$</w:t>
            </w:r>
          </w:p>
        </w:tc>
        <w:tc>
          <w:tcPr>
            <w:tcW w:w="120" w:type="dxa"/>
            <w:vAlign w:val="bottom"/>
          </w:tcPr>
          <w:p>
            <w:pPr>
              <w:spacing w:after="0"/>
              <w:rPr>
                <w:sz w:val="24"/>
                <w:szCs w:val="24"/>
                <w:color w:val="auto"/>
              </w:rPr>
            </w:pPr>
          </w:p>
        </w:tc>
        <w:tc>
          <w:tcPr>
            <w:tcW w:w="13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65,450</w:t>
            </w:r>
          </w:p>
        </w:tc>
        <w:tc>
          <w:tcPr>
            <w:tcW w:w="3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w:t>
            </w:r>
          </w:p>
        </w:tc>
        <w:tc>
          <w:tcPr>
            <w:tcW w:w="12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311,435</w:t>
            </w:r>
          </w:p>
        </w:tc>
        <w:tc>
          <w:tcPr>
            <w:tcW w:w="0" w:type="dxa"/>
            <w:vAlign w:val="bottom"/>
          </w:tcPr>
          <w:p>
            <w:pPr>
              <w:spacing w:after="0"/>
              <w:rPr>
                <w:sz w:val="1"/>
                <w:szCs w:val="1"/>
                <w:color w:val="auto"/>
              </w:rPr>
            </w:pPr>
          </w:p>
        </w:tc>
      </w:tr>
      <w:tr>
        <w:trPr>
          <w:trHeight w:val="109"/>
        </w:trPr>
        <w:tc>
          <w:tcPr>
            <w:tcW w:w="474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Less current maturities</w:t>
            </w:r>
          </w:p>
        </w:tc>
        <w:tc>
          <w:tcPr>
            <w:tcW w:w="4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7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(22,004)</w:t>
            </w:r>
          </w:p>
        </w:tc>
        <w:tc>
          <w:tcPr>
            <w:tcW w:w="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(266,436)</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540" w:type="dxa"/>
            <w:vAlign w:val="bottom"/>
            <w:gridSpan w:val="2"/>
            <w:vMerge w:val="restart"/>
          </w:tcPr>
          <w:p>
            <w:pPr>
              <w:ind w:left="320"/>
              <w:spacing w:after="0"/>
              <w:rPr>
                <w:sz w:val="20"/>
                <w:szCs w:val="20"/>
                <w:color w:val="auto"/>
              </w:rPr>
            </w:pPr>
            <w:r>
              <w:rPr>
                <w:rFonts w:ascii="Courier New" w:cs="Courier New" w:eastAsia="Courier New" w:hAnsi="Courier New"/>
                <w:sz w:val="6"/>
                <w:szCs w:val="6"/>
                <w:color w:val="auto"/>
                <w:w w:val="77"/>
                <w:vertAlign w:val="subscript"/>
              </w:rPr>
              <w:t>$</w:t>
            </w:r>
            <w:r>
              <w:rPr>
                <w:rFonts w:ascii="Courier New" w:cs="Courier New" w:eastAsia="Courier New" w:hAnsi="Courier New"/>
                <w:sz w:val="3"/>
                <w:szCs w:val="3"/>
                <w:color w:val="auto"/>
                <w:w w:val="77"/>
              </w:rPr>
              <w:t>-------------</w:t>
            </w:r>
          </w:p>
        </w:tc>
        <w:tc>
          <w:tcPr>
            <w:tcW w:w="13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43,496</w:t>
            </w:r>
          </w:p>
        </w:tc>
        <w:tc>
          <w:tcPr>
            <w:tcW w:w="1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45,000</w:t>
            </w:r>
          </w:p>
        </w:tc>
        <w:tc>
          <w:tcPr>
            <w:tcW w:w="0" w:type="dxa"/>
            <w:vAlign w:val="bottom"/>
          </w:tcPr>
          <w:p>
            <w:pPr>
              <w:spacing w:after="0"/>
              <w:rPr>
                <w:sz w:val="1"/>
                <w:szCs w:val="1"/>
                <w:color w:val="auto"/>
              </w:rPr>
            </w:pPr>
          </w:p>
        </w:tc>
      </w:tr>
      <w:tr>
        <w:trPr>
          <w:trHeight w:val="296"/>
        </w:trPr>
        <w:tc>
          <w:tcPr>
            <w:tcW w:w="4740" w:type="dxa"/>
            <w:vAlign w:val="bottom"/>
            <w:vMerge w:val="restart"/>
          </w:tcPr>
          <w:p>
            <w:pPr>
              <w:spacing w:after="0"/>
              <w:rPr>
                <w:sz w:val="20"/>
                <w:szCs w:val="20"/>
                <w:color w:val="auto"/>
              </w:rPr>
            </w:pPr>
            <w:r>
              <w:rPr>
                <w:rFonts w:ascii="Courier New" w:cs="Courier New" w:eastAsia="Courier New" w:hAnsi="Courier New"/>
                <w:sz w:val="18"/>
                <w:szCs w:val="18"/>
                <w:color w:val="auto"/>
              </w:rPr>
              <w:t>STOCKHOLDERS' EQUITY</w:t>
            </w:r>
          </w:p>
        </w:tc>
        <w:tc>
          <w:tcPr>
            <w:tcW w:w="540" w:type="dxa"/>
            <w:vAlign w:val="bottom"/>
            <w:gridSpan w:val="2"/>
          </w:tcPr>
          <w:p>
            <w:pPr>
              <w:ind w:left="320"/>
              <w:spacing w:after="0"/>
              <w:rPr>
                <w:sz w:val="20"/>
                <w:szCs w:val="20"/>
                <w:color w:val="auto"/>
              </w:rPr>
            </w:pPr>
            <w:r>
              <w:rPr>
                <w:rFonts w:ascii="Courier New" w:cs="Courier New" w:eastAsia="Courier New" w:hAnsi="Courier New"/>
                <w:sz w:val="3"/>
                <w:szCs w:val="3"/>
                <w:color w:val="auto"/>
                <w:w w:val="85"/>
              </w:rPr>
              <w:t>-------------</w:t>
            </w:r>
          </w:p>
        </w:tc>
        <w:tc>
          <w:tcPr>
            <w:tcW w:w="1360" w:type="dxa"/>
            <w:vAlign w:val="bottom"/>
          </w:tcPr>
          <w:p>
            <w:pPr>
              <w:spacing w:after="0"/>
              <w:rPr>
                <w:sz w:val="24"/>
                <w:szCs w:val="24"/>
                <w:color w:val="auto"/>
              </w:rPr>
            </w:pPr>
          </w:p>
        </w:tc>
        <w:tc>
          <w:tcPr>
            <w:tcW w:w="15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109"/>
        </w:trPr>
        <w:tc>
          <w:tcPr>
            <w:tcW w:w="47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Series A preferred stock, par value $.001</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per share; authorized 5,000,000 shares;</w:t>
            </w:r>
          </w:p>
        </w:tc>
        <w:tc>
          <w:tcPr>
            <w:tcW w:w="420" w:type="dxa"/>
            <w:vAlign w:val="bottom"/>
            <w:vMerge w:val="restart"/>
          </w:tcPr>
          <w:p>
            <w:pPr>
              <w:ind w:left="320"/>
              <w:spacing w:after="0"/>
              <w:rPr>
                <w:sz w:val="20"/>
                <w:szCs w:val="20"/>
                <w:color w:val="auto"/>
              </w:rPr>
            </w:pPr>
            <w:r>
              <w:rPr>
                <w:rFonts w:ascii="Courier New" w:cs="Courier New" w:eastAsia="Courier New" w:hAnsi="Courier New"/>
                <w:sz w:val="18"/>
                <w:szCs w:val="18"/>
                <w:color w:val="auto"/>
                <w:w w:val="73"/>
              </w:rPr>
              <w:t>$</w:t>
            </w:r>
          </w:p>
        </w:tc>
        <w:tc>
          <w:tcPr>
            <w:tcW w:w="120" w:type="dxa"/>
            <w:vAlign w:val="bottom"/>
          </w:tcPr>
          <w:p>
            <w:pPr>
              <w:spacing w:after="0"/>
              <w:rPr>
                <w:sz w:val="17"/>
                <w:szCs w:val="17"/>
                <w:color w:val="auto"/>
              </w:rPr>
            </w:pPr>
          </w:p>
        </w:tc>
        <w:tc>
          <w:tcPr>
            <w:tcW w:w="13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114</w:t>
            </w:r>
          </w:p>
        </w:tc>
        <w:tc>
          <w:tcPr>
            <w:tcW w:w="3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w:t>
            </w:r>
          </w:p>
        </w:tc>
        <w:tc>
          <w:tcPr>
            <w:tcW w:w="12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114</w:t>
            </w:r>
          </w:p>
        </w:tc>
        <w:tc>
          <w:tcPr>
            <w:tcW w:w="0" w:type="dxa"/>
            <w:vAlign w:val="bottom"/>
          </w:tcPr>
          <w:p>
            <w:pPr>
              <w:spacing w:after="0"/>
              <w:rPr>
                <w:sz w:val="1"/>
                <w:szCs w:val="1"/>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issued 113,901 shares</w:t>
            </w:r>
          </w:p>
        </w:tc>
        <w:tc>
          <w:tcPr>
            <w:tcW w:w="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Series B preferred stock, par value $.001</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per share; authorized 2,000,000 shares;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2,000</w:t>
            </w:r>
          </w:p>
        </w:tc>
        <w:tc>
          <w:tcPr>
            <w:tcW w:w="380" w:type="dxa"/>
            <w:vAlign w:val="bottom"/>
          </w:tcPr>
          <w:p>
            <w:pPr>
              <w:spacing w:after="0"/>
              <w:rPr>
                <w:sz w:val="17"/>
                <w:szCs w:val="17"/>
                <w:color w:val="auto"/>
              </w:rPr>
            </w:pPr>
          </w:p>
        </w:tc>
        <w:tc>
          <w:tcPr>
            <w:tcW w:w="12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4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issued 2,000,000 shares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par value $.001 per share;</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4,965</w:t>
            </w:r>
          </w:p>
        </w:tc>
        <w:tc>
          <w:tcPr>
            <w:tcW w:w="380" w:type="dxa"/>
            <w:vAlign w:val="bottom"/>
          </w:tcPr>
          <w:p>
            <w:pPr>
              <w:spacing w:after="0"/>
              <w:rPr>
                <w:sz w:val="17"/>
                <w:szCs w:val="17"/>
                <w:color w:val="auto"/>
              </w:rPr>
            </w:pPr>
          </w:p>
        </w:tc>
        <w:tc>
          <w:tcPr>
            <w:tcW w:w="12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3,289</w:t>
            </w:r>
          </w:p>
        </w:tc>
        <w:tc>
          <w:tcPr>
            <w:tcW w:w="0" w:type="dxa"/>
            <w:vAlign w:val="bottom"/>
          </w:tcPr>
          <w:p>
            <w:pPr>
              <w:spacing w:after="0"/>
              <w:rPr>
                <w:sz w:val="1"/>
                <w:szCs w:val="1"/>
                <w:color w:val="auto"/>
              </w:rPr>
            </w:pPr>
          </w:p>
        </w:tc>
      </w:tr>
      <w:tr>
        <w:trPr>
          <w:trHeight w:val="203"/>
        </w:trPr>
        <w:tc>
          <w:tcPr>
            <w:tcW w:w="52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authorized 10,000,000 shares; issued 4,965,036</w:t>
            </w:r>
          </w:p>
        </w:tc>
        <w:tc>
          <w:tcPr>
            <w:tcW w:w="1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8,906,209</w:t>
            </w:r>
          </w:p>
        </w:tc>
        <w:tc>
          <w:tcPr>
            <w:tcW w:w="38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6,834,594</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420" w:type="dxa"/>
            <w:vAlign w:val="bottom"/>
          </w:tcPr>
          <w:p>
            <w:pPr>
              <w:spacing w:after="0"/>
              <w:rPr>
                <w:sz w:val="17"/>
                <w:szCs w:val="17"/>
                <w:color w:val="auto"/>
              </w:rPr>
            </w:pPr>
          </w:p>
        </w:tc>
        <w:tc>
          <w:tcPr>
            <w:tcW w:w="14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(9,855,825)</w:t>
            </w:r>
          </w:p>
        </w:tc>
        <w:tc>
          <w:tcPr>
            <w:tcW w:w="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(9,465,690)</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540" w:type="dxa"/>
            <w:vAlign w:val="bottom"/>
            <w:gridSpan w:val="2"/>
            <w:vMerge w:val="restart"/>
          </w:tcPr>
          <w:p>
            <w:pPr>
              <w:ind w:left="220"/>
              <w:spacing w:after="0"/>
              <w:rPr>
                <w:sz w:val="20"/>
                <w:szCs w:val="20"/>
                <w:color w:val="auto"/>
              </w:rPr>
            </w:pPr>
            <w:r>
              <w:rPr>
                <w:rFonts w:ascii="Courier New" w:cs="Courier New" w:eastAsia="Courier New" w:hAnsi="Courier New"/>
                <w:sz w:val="8"/>
                <w:szCs w:val="8"/>
                <w:color w:val="auto"/>
                <w:w w:val="87"/>
                <w:vertAlign w:val="subscript"/>
              </w:rPr>
              <w:t>$</w:t>
            </w:r>
            <w:r>
              <w:rPr>
                <w:rFonts w:ascii="Courier New" w:cs="Courier New" w:eastAsia="Courier New" w:hAnsi="Courier New"/>
                <w:sz w:val="4"/>
                <w:szCs w:val="4"/>
                <w:color w:val="auto"/>
                <w:w w:val="87"/>
              </w:rPr>
              <w:t>-------------</w:t>
            </w:r>
          </w:p>
        </w:tc>
        <w:tc>
          <w:tcPr>
            <w:tcW w:w="13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(942,537)</w:t>
            </w:r>
          </w:p>
        </w:tc>
        <w:tc>
          <w:tcPr>
            <w:tcW w:w="1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 (2,627,694)</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540" w:type="dxa"/>
            <w:vAlign w:val="bottom"/>
            <w:gridSpan w:val="2"/>
            <w:vMerge w:val="restart"/>
          </w:tcPr>
          <w:p>
            <w:pPr>
              <w:ind w:left="220"/>
              <w:spacing w:after="0"/>
              <w:rPr>
                <w:sz w:val="20"/>
                <w:szCs w:val="20"/>
                <w:color w:val="auto"/>
              </w:rPr>
            </w:pPr>
            <w:r>
              <w:rPr>
                <w:rFonts w:ascii="Courier New" w:cs="Courier New" w:eastAsia="Courier New" w:hAnsi="Courier New"/>
                <w:sz w:val="8"/>
                <w:szCs w:val="8"/>
                <w:color w:val="auto"/>
                <w:w w:val="87"/>
                <w:vertAlign w:val="subscript"/>
              </w:rPr>
              <w:t>$</w:t>
            </w:r>
            <w:r>
              <w:rPr>
                <w:rFonts w:ascii="Courier New" w:cs="Courier New" w:eastAsia="Courier New" w:hAnsi="Courier New"/>
                <w:sz w:val="4"/>
                <w:szCs w:val="4"/>
                <w:color w:val="auto"/>
                <w:w w:val="87"/>
              </w:rPr>
              <w:t>-------------</w:t>
            </w:r>
          </w:p>
        </w:tc>
        <w:tc>
          <w:tcPr>
            <w:tcW w:w="13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77,062</w:t>
            </w:r>
          </w:p>
        </w:tc>
        <w:tc>
          <w:tcPr>
            <w:tcW w:w="1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84,780</w:t>
            </w:r>
          </w:p>
        </w:tc>
        <w:tc>
          <w:tcPr>
            <w:tcW w:w="0" w:type="dxa"/>
            <w:vAlign w:val="bottom"/>
          </w:tcPr>
          <w:p>
            <w:pPr>
              <w:spacing w:after="0"/>
              <w:rPr>
                <w:sz w:val="1"/>
                <w:szCs w:val="1"/>
                <w:color w:val="auto"/>
              </w:rPr>
            </w:pPr>
          </w:p>
        </w:tc>
      </w:tr>
      <w:tr>
        <w:trPr>
          <w:trHeight w:val="235"/>
        </w:trPr>
        <w:tc>
          <w:tcPr>
            <w:tcW w:w="4740" w:type="dxa"/>
            <w:vAlign w:val="bottom"/>
          </w:tcPr>
          <w:p>
            <w:pPr>
              <w:spacing w:after="0"/>
              <w:rPr>
                <w:sz w:val="20"/>
                <w:szCs w:val="20"/>
                <w:color w:val="auto"/>
              </w:rPr>
            </w:pPr>
          </w:p>
        </w:tc>
        <w:tc>
          <w:tcPr>
            <w:tcW w:w="540" w:type="dxa"/>
            <w:vAlign w:val="bottom"/>
            <w:gridSpan w:val="2"/>
          </w:tcPr>
          <w:p>
            <w:pPr>
              <w:ind w:left="220"/>
              <w:spacing w:after="0"/>
              <w:rPr>
                <w:sz w:val="20"/>
                <w:szCs w:val="20"/>
                <w:color w:val="auto"/>
              </w:rPr>
            </w:pPr>
            <w:r>
              <w:rPr>
                <w:rFonts w:ascii="Courier New" w:cs="Courier New" w:eastAsia="Courier New" w:hAnsi="Courier New"/>
                <w:sz w:val="5"/>
                <w:szCs w:val="5"/>
                <w:color w:val="auto"/>
                <w:w w:val="76"/>
              </w:rPr>
              <w:t>-------------</w:t>
            </w:r>
          </w:p>
        </w:tc>
        <w:tc>
          <w:tcPr>
            <w:tcW w:w="1360" w:type="dxa"/>
            <w:vAlign w:val="bottom"/>
          </w:tcPr>
          <w:p>
            <w:pPr>
              <w:spacing w:after="0"/>
              <w:rPr>
                <w:sz w:val="20"/>
                <w:szCs w:val="20"/>
                <w:color w:val="auto"/>
              </w:rPr>
            </w:pPr>
          </w:p>
        </w:tc>
        <w:tc>
          <w:tcPr>
            <w:tcW w:w="15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bl>
    <w:p>
      <w:pPr>
        <w:ind w:left="4960"/>
        <w:spacing w:after="0"/>
        <w:tabs>
          <w:tab w:leader="none" w:pos="68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Financial Statements.</w:t>
      </w:r>
    </w:p>
    <w:p>
      <w:pPr>
        <w:sectPr>
          <w:pgSz w:w="11900" w:h="16838" w:orient="portrait"/>
          <w:cols w:equalWidth="0" w:num="1">
            <w:col w:w="10219"/>
          </w:cols>
          <w:pgMar w:left="240" w:top="285" w:right="1440" w:bottom="964"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96"/>
        </w:trPr>
        <w:tc>
          <w:tcPr>
            <w:tcW w:w="2860" w:type="dxa"/>
            <w:vAlign w:val="bottom"/>
          </w:tcPr>
          <w:p>
            <w:pPr>
              <w:ind w:left="120"/>
              <w:spacing w:after="0"/>
              <w:rPr>
                <w:sz w:val="20"/>
                <w:szCs w:val="20"/>
                <w:color w:val="auto"/>
              </w:rPr>
            </w:pPr>
            <w:r>
              <w:rPr>
                <w:rFonts w:ascii="Courier New" w:cs="Courier New" w:eastAsia="Courier New" w:hAnsi="Courier New"/>
                <w:sz w:val="18"/>
                <w:szCs w:val="18"/>
                <w:color w:val="auto"/>
              </w:rPr>
              <w:t>4</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4"/>
                <w:szCs w:val="24"/>
                <w:color w:val="auto"/>
              </w:rPr>
            </w:pPr>
          </w:p>
        </w:tc>
        <w:tc>
          <w:tcPr>
            <w:tcW w:w="1680" w:type="dxa"/>
            <w:vAlign w:val="bottom"/>
            <w:gridSpan w:val="3"/>
          </w:tcPr>
          <w:p>
            <w:pPr>
              <w:spacing w:after="0"/>
              <w:rPr>
                <w:sz w:val="20"/>
                <w:szCs w:val="20"/>
                <w:color w:val="auto"/>
              </w:rPr>
            </w:pPr>
            <w:r>
              <w:rPr>
                <w:rFonts w:ascii="Courier New" w:cs="Courier New" w:eastAsia="Courier New" w:hAnsi="Courier New"/>
                <w:sz w:val="18"/>
                <w:szCs w:val="18"/>
                <w:color w:val="auto"/>
                <w:w w:val="96"/>
              </w:rPr>
              <w:t>INTERACTIVE INC.</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600" w:type="dxa"/>
            <w:vAlign w:val="bottom"/>
            <w:gridSpan w:val="5"/>
          </w:tcPr>
          <w:p>
            <w:pPr>
              <w:ind w:left="2320"/>
              <w:spacing w:after="0" w:line="203" w:lineRule="exact"/>
              <w:rPr>
                <w:sz w:val="20"/>
                <w:szCs w:val="20"/>
                <w:color w:val="auto"/>
              </w:rPr>
            </w:pPr>
            <w:r>
              <w:rPr>
                <w:rFonts w:ascii="Courier New" w:cs="Courier New" w:eastAsia="Courier New" w:hAnsi="Courier New"/>
                <w:sz w:val="18"/>
                <w:szCs w:val="18"/>
                <w:color w:val="auto"/>
              </w:rPr>
              <w:t>STATEMENTS OF OPERATIONS</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gridSpan w:val="7"/>
          </w:tcPr>
          <w:p>
            <w:pPr>
              <w:ind w:left="1060"/>
              <w:spacing w:after="0" w:line="203" w:lineRule="exact"/>
              <w:rPr>
                <w:sz w:val="20"/>
                <w:szCs w:val="20"/>
                <w:color w:val="auto"/>
              </w:rPr>
            </w:pPr>
            <w:r>
              <w:rPr>
                <w:rFonts w:ascii="Courier New" w:cs="Courier New" w:eastAsia="Courier New" w:hAnsi="Courier New"/>
                <w:sz w:val="18"/>
                <w:szCs w:val="18"/>
                <w:color w:val="auto"/>
              </w:rPr>
              <w:t>Nine and Three Months Ended June 30, 1999 and 1998</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(Unaudited)</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4"/>
                <w:szCs w:val="24"/>
                <w:color w:val="auto"/>
              </w:rPr>
            </w:pPr>
          </w:p>
        </w:tc>
        <w:tc>
          <w:tcPr>
            <w:tcW w:w="5580" w:type="dxa"/>
            <w:vAlign w:val="bottom"/>
            <w:gridSpan w:val="8"/>
          </w:tcPr>
          <w:p>
            <w:pPr>
              <w:jc w:val="right"/>
              <w:spacing w:after="0"/>
              <w:rPr>
                <w:sz w:val="20"/>
                <w:szCs w:val="20"/>
                <w:color w:val="auto"/>
              </w:rPr>
            </w:pPr>
            <w:r>
              <w:rPr>
                <w:rFonts w:ascii="Courier New" w:cs="Courier New" w:eastAsia="Courier New" w:hAnsi="Courier New"/>
                <w:sz w:val="18"/>
                <w:szCs w:val="18"/>
                <w:color w:val="auto"/>
                <w:w w:val="97"/>
              </w:rPr>
              <w:t>Nine months ended June 30,Three months ended June 30,</w:t>
            </w: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320" w:type="dxa"/>
            <w:vAlign w:val="bottom"/>
          </w:tcPr>
          <w:p>
            <w:pPr>
              <w:spacing w:after="0"/>
              <w:rPr>
                <w:sz w:val="17"/>
                <w:szCs w:val="17"/>
                <w:color w:val="auto"/>
              </w:rPr>
            </w:pPr>
          </w:p>
        </w:tc>
        <w:tc>
          <w:tcPr>
            <w:tcW w:w="1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1998</w:t>
            </w:r>
          </w:p>
        </w:tc>
        <w:tc>
          <w:tcPr>
            <w:tcW w:w="26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1999</w:t>
            </w:r>
          </w:p>
        </w:tc>
        <w:tc>
          <w:tcPr>
            <w:tcW w:w="36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1998</w:t>
            </w: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30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26,103</w:t>
            </w:r>
          </w:p>
        </w:tc>
        <w:tc>
          <w:tcPr>
            <w:tcW w:w="32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49,523</w:t>
            </w:r>
          </w:p>
        </w:tc>
        <w:tc>
          <w:tcPr>
            <w:tcW w:w="2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9,663</w:t>
            </w:r>
          </w:p>
        </w:tc>
        <w:tc>
          <w:tcPr>
            <w:tcW w:w="360" w:type="dxa"/>
            <w:vAlign w:val="bottom"/>
          </w:tcPr>
          <w:p>
            <w:pPr>
              <w:jc w:val="right"/>
              <w:ind w:right="5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9,746</w:t>
            </w:r>
          </w:p>
        </w:tc>
        <w:tc>
          <w:tcPr>
            <w:tcW w:w="0" w:type="dxa"/>
            <w:vAlign w:val="bottom"/>
          </w:tcPr>
          <w:p>
            <w:pPr>
              <w:spacing w:after="0"/>
              <w:rPr>
                <w:sz w:val="1"/>
                <w:szCs w:val="1"/>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exclusive of depreciation</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amortization shown</w:t>
            </w:r>
          </w:p>
        </w:tc>
        <w:tc>
          <w:tcPr>
            <w:tcW w:w="300" w:type="dxa"/>
            <w:vAlign w:val="bottom"/>
          </w:tcPr>
          <w:p>
            <w:pPr>
              <w:spacing w:after="0"/>
              <w:rPr>
                <w:sz w:val="17"/>
                <w:szCs w:val="17"/>
                <w:color w:val="auto"/>
              </w:rPr>
            </w:pPr>
          </w:p>
        </w:tc>
        <w:tc>
          <w:tcPr>
            <w:tcW w:w="10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18,412</w:t>
            </w:r>
          </w:p>
        </w:tc>
        <w:tc>
          <w:tcPr>
            <w:tcW w:w="320" w:type="dxa"/>
            <w:vAlign w:val="bottom"/>
          </w:tcPr>
          <w:p>
            <w:pPr>
              <w:spacing w:after="0"/>
              <w:rPr>
                <w:sz w:val="17"/>
                <w:szCs w:val="17"/>
                <w:color w:val="auto"/>
              </w:rPr>
            </w:pPr>
          </w:p>
        </w:tc>
        <w:tc>
          <w:tcPr>
            <w:tcW w:w="10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27,266</w:t>
            </w:r>
          </w:p>
        </w:tc>
        <w:tc>
          <w:tcPr>
            <w:tcW w:w="260" w:type="dxa"/>
            <w:vAlign w:val="bottom"/>
          </w:tcPr>
          <w:p>
            <w:pPr>
              <w:spacing w:after="0"/>
              <w:rPr>
                <w:sz w:val="17"/>
                <w:szCs w:val="17"/>
                <w:color w:val="auto"/>
              </w:rPr>
            </w:pPr>
          </w:p>
        </w:tc>
        <w:tc>
          <w:tcPr>
            <w:tcW w:w="11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6,860</w:t>
            </w:r>
          </w:p>
        </w:tc>
        <w:tc>
          <w:tcPr>
            <w:tcW w:w="360" w:type="dxa"/>
            <w:vAlign w:val="bottom"/>
          </w:tcPr>
          <w:p>
            <w:pPr>
              <w:spacing w:after="0"/>
              <w:rPr>
                <w:sz w:val="17"/>
                <w:szCs w:val="17"/>
                <w:color w:val="auto"/>
              </w:rPr>
            </w:pPr>
          </w:p>
        </w:tc>
        <w:tc>
          <w:tcPr>
            <w:tcW w:w="11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7,675</w:t>
            </w:r>
          </w:p>
        </w:tc>
        <w:tc>
          <w:tcPr>
            <w:tcW w:w="0" w:type="dxa"/>
            <w:vAlign w:val="bottom"/>
          </w:tcPr>
          <w:p>
            <w:pPr>
              <w:spacing w:after="0"/>
              <w:rPr>
                <w:sz w:val="1"/>
                <w:szCs w:val="1"/>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separately below</w:t>
            </w:r>
          </w:p>
        </w:tc>
        <w:tc>
          <w:tcPr>
            <w:tcW w:w="3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vMerge w:val="restart"/>
          </w:tcPr>
          <w:p>
            <w:pPr>
              <w:ind w:left="960"/>
              <w:spacing w:after="0"/>
              <w:rPr>
                <w:sz w:val="20"/>
                <w:szCs w:val="20"/>
                <w:color w:val="auto"/>
              </w:rPr>
            </w:pPr>
            <w:r>
              <w:rPr>
                <w:rFonts w:ascii="Courier New" w:cs="Courier New" w:eastAsia="Courier New" w:hAnsi="Courier New"/>
                <w:sz w:val="18"/>
                <w:szCs w:val="18"/>
                <w:color w:val="auto"/>
              </w:rPr>
              <w:t>Gross profit</w:t>
            </w:r>
          </w:p>
        </w:tc>
        <w:tc>
          <w:tcPr>
            <w:tcW w:w="300" w:type="dxa"/>
            <w:vAlign w:val="bottom"/>
            <w:vMerge w:val="restart"/>
          </w:tcPr>
          <w:p>
            <w:pPr>
              <w:ind w:left="100"/>
              <w:spacing w:after="0"/>
              <w:rPr>
                <w:sz w:val="20"/>
                <w:szCs w:val="20"/>
                <w:color w:val="auto"/>
              </w:rPr>
            </w:pPr>
            <w:r>
              <w:rPr>
                <w:rFonts w:ascii="Courier New" w:cs="Courier New" w:eastAsia="Courier New" w:hAnsi="Courier New"/>
                <w:sz w:val="6"/>
                <w:szCs w:val="6"/>
                <w:color w:val="auto"/>
                <w:w w:val="80"/>
                <w:vertAlign w:val="subscript"/>
              </w:rPr>
              <w:t>$</w:t>
            </w:r>
            <w:r>
              <w:rPr>
                <w:rFonts w:ascii="Courier New" w:cs="Courier New" w:eastAsia="Courier New" w:hAnsi="Courier New"/>
                <w:sz w:val="3"/>
                <w:szCs w:val="3"/>
                <w:color w:val="auto"/>
                <w:w w:val="80"/>
              </w:rPr>
              <w:t>-----------</w:t>
            </w:r>
          </w:p>
        </w:tc>
        <w:tc>
          <w:tcPr>
            <w:tcW w:w="10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7,691</w:t>
            </w:r>
          </w:p>
        </w:tc>
        <w:tc>
          <w:tcPr>
            <w:tcW w:w="13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86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22,257</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2,803</w:t>
            </w:r>
          </w:p>
        </w:tc>
        <w:tc>
          <w:tcPr>
            <w:tcW w:w="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2,071</w:t>
            </w: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3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29,367</w:t>
            </w:r>
          </w:p>
        </w:tc>
        <w:tc>
          <w:tcPr>
            <w:tcW w:w="3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24,963</w:t>
            </w:r>
          </w:p>
        </w:tc>
        <w:tc>
          <w:tcPr>
            <w:tcW w:w="26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w:t>
            </w:r>
          </w:p>
        </w:tc>
        <w:tc>
          <w:tcPr>
            <w:tcW w:w="11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9,913</w:t>
            </w:r>
          </w:p>
        </w:tc>
        <w:tc>
          <w:tcPr>
            <w:tcW w:w="36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w:t>
            </w:r>
          </w:p>
        </w:tc>
        <w:tc>
          <w:tcPr>
            <w:tcW w:w="11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(2,847)</w:t>
            </w:r>
          </w:p>
        </w:tc>
        <w:tc>
          <w:tcPr>
            <w:tcW w:w="0" w:type="dxa"/>
            <w:vAlign w:val="bottom"/>
          </w:tcPr>
          <w:p>
            <w:pPr>
              <w:spacing w:after="0"/>
              <w:rPr>
                <w:sz w:val="1"/>
                <w:szCs w:val="1"/>
                <w:color w:val="auto"/>
              </w:rPr>
            </w:pPr>
          </w:p>
        </w:tc>
      </w:tr>
      <w:tr>
        <w:trPr>
          <w:trHeight w:val="203"/>
        </w:trPr>
        <w:tc>
          <w:tcPr>
            <w:tcW w:w="2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Sales and Marketing</w:t>
            </w:r>
          </w:p>
        </w:tc>
        <w:tc>
          <w:tcPr>
            <w:tcW w:w="3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Support and production</w:t>
            </w:r>
          </w:p>
        </w:tc>
        <w:tc>
          <w:tcPr>
            <w:tcW w:w="30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4,734</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(4,013)</w:t>
            </w:r>
          </w:p>
        </w:tc>
        <w:tc>
          <w:tcPr>
            <w:tcW w:w="26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1,521</w:t>
            </w:r>
          </w:p>
        </w:tc>
        <w:tc>
          <w:tcPr>
            <w:tcW w:w="36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(5,577)</w:t>
            </w:r>
          </w:p>
        </w:tc>
        <w:tc>
          <w:tcPr>
            <w:tcW w:w="0" w:type="dxa"/>
            <w:vAlign w:val="bottom"/>
          </w:tcPr>
          <w:p>
            <w:pPr>
              <w:spacing w:after="0"/>
              <w:rPr>
                <w:sz w:val="1"/>
                <w:szCs w:val="1"/>
                <w:color w:val="auto"/>
              </w:rPr>
            </w:pPr>
          </w:p>
        </w:tc>
      </w:tr>
      <w:tr>
        <w:trPr>
          <w:trHeight w:val="203"/>
        </w:trPr>
        <w:tc>
          <w:tcPr>
            <w:tcW w:w="31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6"/>
              </w:rPr>
              <w:t>General and administrative</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22,838</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9,573</w:t>
            </w:r>
          </w:p>
        </w:tc>
        <w:tc>
          <w:tcPr>
            <w:tcW w:w="26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7,996</w:t>
            </w:r>
          </w:p>
        </w:tc>
        <w:tc>
          <w:tcPr>
            <w:tcW w:w="36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3,653</w:t>
            </w:r>
          </w:p>
        </w:tc>
        <w:tc>
          <w:tcPr>
            <w:tcW w:w="0" w:type="dxa"/>
            <w:vAlign w:val="bottom"/>
          </w:tcPr>
          <w:p>
            <w:pPr>
              <w:spacing w:after="0"/>
              <w:rPr>
                <w:sz w:val="1"/>
                <w:szCs w:val="1"/>
                <w:color w:val="auto"/>
              </w:rPr>
            </w:pPr>
          </w:p>
        </w:tc>
      </w:tr>
      <w:tr>
        <w:trPr>
          <w:trHeight w:val="203"/>
        </w:trPr>
        <w:tc>
          <w:tcPr>
            <w:tcW w:w="422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amortization4,976</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13,734</w:t>
            </w:r>
          </w:p>
        </w:tc>
        <w:tc>
          <w:tcPr>
            <w:tcW w:w="26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1,590</w:t>
            </w:r>
          </w:p>
        </w:tc>
        <w:tc>
          <w:tcPr>
            <w:tcW w:w="36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4,578</w:t>
            </w: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300" w:type="dxa"/>
            <w:vAlign w:val="bottom"/>
            <w:vMerge w:val="restart"/>
          </w:tcPr>
          <w:p>
            <w:pPr>
              <w:ind w:left="100"/>
              <w:spacing w:after="0"/>
              <w:rPr>
                <w:sz w:val="20"/>
                <w:szCs w:val="20"/>
                <w:color w:val="auto"/>
              </w:rPr>
            </w:pPr>
            <w:r>
              <w:rPr>
                <w:rFonts w:ascii="Courier New" w:cs="Courier New" w:eastAsia="Courier New" w:hAnsi="Courier New"/>
                <w:sz w:val="6"/>
                <w:szCs w:val="6"/>
                <w:color w:val="auto"/>
                <w:w w:val="80"/>
                <w:vertAlign w:val="subscript"/>
              </w:rPr>
              <w:t>$</w:t>
            </w:r>
            <w:r>
              <w:rPr>
                <w:rFonts w:ascii="Courier New" w:cs="Courier New" w:eastAsia="Courier New" w:hAnsi="Courier New"/>
                <w:sz w:val="3"/>
                <w:szCs w:val="3"/>
                <w:color w:val="auto"/>
                <w:w w:val="80"/>
              </w:rPr>
              <w:t>-----------</w:t>
            </w:r>
          </w:p>
        </w:tc>
        <w:tc>
          <w:tcPr>
            <w:tcW w:w="10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61,915</w:t>
            </w:r>
          </w:p>
        </w:tc>
        <w:tc>
          <w:tcPr>
            <w:tcW w:w="13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44,221</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22,004</w:t>
            </w:r>
          </w:p>
        </w:tc>
        <w:tc>
          <w:tcPr>
            <w:tcW w:w="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(193)</w:t>
            </w:r>
          </w:p>
        </w:tc>
        <w:tc>
          <w:tcPr>
            <w:tcW w:w="0" w:type="dxa"/>
            <w:vAlign w:val="bottom"/>
          </w:tcPr>
          <w:p>
            <w:pPr>
              <w:spacing w:after="0"/>
              <w:rPr>
                <w:sz w:val="1"/>
                <w:szCs w:val="1"/>
                <w:color w:val="auto"/>
              </w:rPr>
            </w:pPr>
          </w:p>
        </w:tc>
      </w:tr>
      <w:tr>
        <w:trPr>
          <w:trHeight w:val="203"/>
        </w:trPr>
        <w:tc>
          <w:tcPr>
            <w:tcW w:w="2860" w:type="dxa"/>
            <w:vAlign w:val="bottom"/>
            <w:vMerge w:val="restart"/>
          </w:tcPr>
          <w:p>
            <w:pPr>
              <w:ind w:left="1280"/>
              <w:spacing w:after="0"/>
              <w:rPr>
                <w:sz w:val="20"/>
                <w:szCs w:val="20"/>
                <w:color w:val="auto"/>
              </w:rPr>
            </w:pPr>
            <w:r>
              <w:rPr>
                <w:rFonts w:ascii="Courier New" w:cs="Courier New" w:eastAsia="Courier New" w:hAnsi="Courier New"/>
                <w:sz w:val="18"/>
                <w:szCs w:val="18"/>
                <w:color w:val="auto"/>
              </w:rPr>
              <w:t>Operating Loss</w:t>
            </w:r>
          </w:p>
        </w:tc>
        <w:tc>
          <w:tcPr>
            <w:tcW w:w="300" w:type="dxa"/>
            <w:vAlign w:val="bottom"/>
            <w:vMerge w:val="restart"/>
          </w:tcPr>
          <w:p>
            <w:pPr>
              <w:ind w:left="100"/>
              <w:spacing w:after="0"/>
              <w:rPr>
                <w:sz w:val="20"/>
                <w:szCs w:val="20"/>
                <w:color w:val="auto"/>
              </w:rPr>
            </w:pPr>
            <w:r>
              <w:rPr>
                <w:rFonts w:ascii="Courier New" w:cs="Courier New" w:eastAsia="Courier New" w:hAnsi="Courier New"/>
                <w:sz w:val="6"/>
                <w:szCs w:val="6"/>
                <w:color w:val="auto"/>
                <w:w w:val="80"/>
                <w:vertAlign w:val="subscript"/>
              </w:rPr>
              <w:t>$</w:t>
            </w:r>
            <w:r>
              <w:rPr>
                <w:rFonts w:ascii="Courier New" w:cs="Courier New" w:eastAsia="Courier New" w:hAnsi="Courier New"/>
                <w:sz w:val="3"/>
                <w:szCs w:val="3"/>
                <w:color w:val="auto"/>
                <w:w w:val="80"/>
              </w:rPr>
              <w:t>-----------</w:t>
            </w: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(54,224)</w:t>
            </w:r>
          </w:p>
        </w:tc>
        <w:tc>
          <w:tcPr>
            <w:tcW w:w="13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86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(21,964)</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(19,201)</w:t>
            </w:r>
          </w:p>
        </w:tc>
        <w:tc>
          <w:tcPr>
            <w:tcW w:w="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2,264</w:t>
            </w: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w w:val="96"/>
              </w:rPr>
              <w:t>Nonoperating income (expense):</w:t>
            </w:r>
          </w:p>
        </w:tc>
        <w:tc>
          <w:tcPr>
            <w:tcW w:w="10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839</w:t>
            </w:r>
          </w:p>
        </w:tc>
        <w:tc>
          <w:tcPr>
            <w:tcW w:w="3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618</w:t>
            </w:r>
          </w:p>
        </w:tc>
        <w:tc>
          <w:tcPr>
            <w:tcW w:w="26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w:t>
            </w:r>
          </w:p>
        </w:tc>
        <w:tc>
          <w:tcPr>
            <w:tcW w:w="11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289</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150</w:t>
            </w:r>
          </w:p>
        </w:tc>
        <w:tc>
          <w:tcPr>
            <w:tcW w:w="0" w:type="dxa"/>
            <w:vAlign w:val="bottom"/>
          </w:tcPr>
          <w:p>
            <w:pPr>
              <w:spacing w:after="0"/>
              <w:rPr>
                <w:sz w:val="1"/>
                <w:szCs w:val="1"/>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Rental income</w:t>
            </w:r>
          </w:p>
        </w:tc>
        <w:tc>
          <w:tcPr>
            <w:tcW w:w="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3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(353,145)</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(30,867)</w:t>
            </w:r>
          </w:p>
        </w:tc>
        <w:tc>
          <w:tcPr>
            <w:tcW w:w="2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(225,491)</w:t>
            </w:r>
          </w:p>
        </w:tc>
        <w:tc>
          <w:tcPr>
            <w:tcW w:w="360" w:type="dxa"/>
            <w:vAlign w:val="bottom"/>
          </w:tcPr>
          <w:p>
            <w:pPr>
              <w:spacing w:after="0"/>
              <w:rPr>
                <w:sz w:val="17"/>
                <w:szCs w:val="17"/>
                <w:color w:val="auto"/>
              </w:rPr>
            </w:pP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(10,122)</w:t>
            </w:r>
          </w:p>
        </w:tc>
        <w:tc>
          <w:tcPr>
            <w:tcW w:w="0" w:type="dxa"/>
            <w:vAlign w:val="bottom"/>
          </w:tcPr>
          <w:p>
            <w:pPr>
              <w:spacing w:after="0"/>
              <w:rPr>
                <w:sz w:val="1"/>
                <w:szCs w:val="1"/>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Miscellaneous income</w:t>
            </w:r>
          </w:p>
        </w:tc>
        <w:tc>
          <w:tcPr>
            <w:tcW w:w="30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16,395</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25,588</w:t>
            </w:r>
          </w:p>
        </w:tc>
        <w:tc>
          <w:tcPr>
            <w:tcW w:w="26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5,789</w:t>
            </w:r>
          </w:p>
        </w:tc>
        <w:tc>
          <w:tcPr>
            <w:tcW w:w="360" w:type="dxa"/>
            <w:vAlign w:val="bottom"/>
          </w:tcPr>
          <w:p>
            <w:pPr>
              <w:spacing w:after="0"/>
              <w:rPr>
                <w:sz w:val="17"/>
                <w:szCs w:val="17"/>
                <w:color w:val="auto"/>
              </w:rPr>
            </w:pP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7,354</w:t>
            </w:r>
          </w:p>
        </w:tc>
        <w:tc>
          <w:tcPr>
            <w:tcW w:w="0" w:type="dxa"/>
            <w:vAlign w:val="bottom"/>
          </w:tcPr>
          <w:p>
            <w:pPr>
              <w:spacing w:after="0"/>
              <w:rPr>
                <w:sz w:val="1"/>
                <w:szCs w:val="1"/>
                <w:color w:val="auto"/>
              </w:rPr>
            </w:pPr>
          </w:p>
        </w:tc>
      </w:tr>
      <w:tr>
        <w:trPr>
          <w:trHeight w:val="203"/>
        </w:trPr>
        <w:tc>
          <w:tcPr>
            <w:tcW w:w="2860" w:type="dxa"/>
            <w:vAlign w:val="bottom"/>
            <w:vMerge w:val="restart"/>
          </w:tcPr>
          <w:p>
            <w:pPr>
              <w:spacing w:after="0"/>
              <w:rPr>
                <w:sz w:val="20"/>
                <w:szCs w:val="20"/>
                <w:color w:val="auto"/>
              </w:rPr>
            </w:pPr>
            <w:r>
              <w:rPr>
                <w:rFonts w:ascii="Courier New" w:cs="Courier New" w:eastAsia="Courier New" w:hAnsi="Courier New"/>
                <w:sz w:val="18"/>
                <w:szCs w:val="18"/>
                <w:color w:val="auto"/>
              </w:rPr>
              <w:t>Nonoperating (expense):</w:t>
            </w:r>
          </w:p>
        </w:tc>
        <w:tc>
          <w:tcPr>
            <w:tcW w:w="300" w:type="dxa"/>
            <w:vAlign w:val="bottom"/>
            <w:vMerge w:val="restart"/>
          </w:tcPr>
          <w:p>
            <w:pPr>
              <w:ind w:left="100"/>
              <w:spacing w:after="0"/>
              <w:rPr>
                <w:sz w:val="20"/>
                <w:szCs w:val="20"/>
                <w:color w:val="auto"/>
              </w:rPr>
            </w:pPr>
            <w:r>
              <w:rPr>
                <w:rFonts w:ascii="Courier New" w:cs="Courier New" w:eastAsia="Courier New" w:hAnsi="Courier New"/>
                <w:sz w:val="6"/>
                <w:szCs w:val="6"/>
                <w:color w:val="auto"/>
                <w:w w:val="80"/>
                <w:vertAlign w:val="subscript"/>
              </w:rPr>
              <w:t>$</w:t>
            </w:r>
            <w:r>
              <w:rPr>
                <w:rFonts w:ascii="Courier New" w:cs="Courier New" w:eastAsia="Courier New" w:hAnsi="Courier New"/>
                <w:sz w:val="3"/>
                <w:szCs w:val="3"/>
                <w:color w:val="auto"/>
                <w:w w:val="80"/>
              </w:rPr>
              <w:t>-----------</w:t>
            </w: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6"/>
              </w:rPr>
              <w:t>(335,911)</w:t>
            </w:r>
          </w:p>
        </w:tc>
        <w:tc>
          <w:tcPr>
            <w:tcW w:w="13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86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(4,661)</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 (219,413)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(2,618)</w:t>
            </w:r>
          </w:p>
        </w:tc>
        <w:tc>
          <w:tcPr>
            <w:tcW w:w="0" w:type="dxa"/>
            <w:vAlign w:val="bottom"/>
          </w:tcPr>
          <w:p>
            <w:pPr>
              <w:spacing w:after="0"/>
              <w:rPr>
                <w:sz w:val="1"/>
                <w:szCs w:val="1"/>
                <w:color w:val="auto"/>
              </w:rPr>
            </w:pPr>
          </w:p>
        </w:tc>
      </w:tr>
      <w:tr>
        <w:trPr>
          <w:trHeight w:val="203"/>
        </w:trPr>
        <w:tc>
          <w:tcPr>
            <w:tcW w:w="2860" w:type="dxa"/>
            <w:vAlign w:val="bottom"/>
            <w:vMerge w:val="restart"/>
          </w:tcPr>
          <w:p>
            <w:pPr>
              <w:ind w:left="1280"/>
              <w:spacing w:after="0"/>
              <w:rPr>
                <w:sz w:val="20"/>
                <w:szCs w:val="20"/>
                <w:color w:val="auto"/>
              </w:rPr>
            </w:pPr>
            <w:r>
              <w:rPr>
                <w:rFonts w:ascii="Courier New" w:cs="Courier New" w:eastAsia="Courier New" w:hAnsi="Courier New"/>
                <w:sz w:val="18"/>
                <w:szCs w:val="18"/>
                <w:color w:val="auto"/>
              </w:rPr>
              <w:t>Net loss</w:t>
            </w:r>
          </w:p>
        </w:tc>
        <w:tc>
          <w:tcPr>
            <w:tcW w:w="300" w:type="dxa"/>
            <w:vAlign w:val="bottom"/>
            <w:vMerge w:val="restart"/>
          </w:tcPr>
          <w:p>
            <w:pPr>
              <w:ind w:left="100"/>
              <w:spacing w:after="0"/>
              <w:rPr>
                <w:sz w:val="20"/>
                <w:szCs w:val="20"/>
                <w:color w:val="auto"/>
              </w:rPr>
            </w:pPr>
            <w:r>
              <w:rPr>
                <w:rFonts w:ascii="Courier New" w:cs="Courier New" w:eastAsia="Courier New" w:hAnsi="Courier New"/>
                <w:sz w:val="6"/>
                <w:szCs w:val="6"/>
                <w:color w:val="auto"/>
                <w:w w:val="80"/>
                <w:vertAlign w:val="subscript"/>
              </w:rPr>
              <w:t>$</w:t>
            </w:r>
            <w:r>
              <w:rPr>
                <w:rFonts w:ascii="Courier New" w:cs="Courier New" w:eastAsia="Courier New" w:hAnsi="Courier New"/>
                <w:sz w:val="3"/>
                <w:szCs w:val="3"/>
                <w:color w:val="auto"/>
                <w:w w:val="80"/>
              </w:rPr>
              <w:t>-----------</w:t>
            </w: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6"/>
              </w:rPr>
              <w:t>(390,135)</w:t>
            </w:r>
          </w:p>
        </w:tc>
        <w:tc>
          <w:tcPr>
            <w:tcW w:w="13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86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(26,625)</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 (237,614)</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(354)</w:t>
            </w: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860" w:type="dxa"/>
            <w:vAlign w:val="bottom"/>
          </w:tcPr>
          <w:p>
            <w:pPr>
              <w:spacing w:after="0"/>
              <w:rPr>
                <w:sz w:val="20"/>
                <w:szCs w:val="20"/>
                <w:color w:val="auto"/>
              </w:rPr>
            </w:pPr>
            <w:r>
              <w:rPr>
                <w:rFonts w:ascii="Courier New" w:cs="Courier New" w:eastAsia="Courier New" w:hAnsi="Courier New"/>
                <w:sz w:val="18"/>
                <w:szCs w:val="18"/>
                <w:color w:val="auto"/>
              </w:rPr>
              <w:t>Loss per common and common</w:t>
            </w:r>
          </w:p>
        </w:tc>
        <w:tc>
          <w:tcPr>
            <w:tcW w:w="3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(0.08)</w:t>
            </w:r>
          </w:p>
        </w:tc>
        <w:tc>
          <w:tcPr>
            <w:tcW w:w="3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(0.01)</w:t>
            </w:r>
          </w:p>
        </w:tc>
        <w:tc>
          <w:tcPr>
            <w:tcW w:w="26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w:t>
            </w:r>
          </w:p>
        </w:tc>
        <w:tc>
          <w:tcPr>
            <w:tcW w:w="11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(0.05)</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(0.00)</w:t>
            </w:r>
          </w:p>
        </w:tc>
        <w:tc>
          <w:tcPr>
            <w:tcW w:w="0" w:type="dxa"/>
            <w:vAlign w:val="bottom"/>
          </w:tcPr>
          <w:p>
            <w:pPr>
              <w:spacing w:after="0"/>
              <w:rPr>
                <w:sz w:val="1"/>
                <w:szCs w:val="1"/>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equivalent share</w:t>
            </w:r>
          </w:p>
        </w:tc>
        <w:tc>
          <w:tcPr>
            <w:tcW w:w="3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860" w:type="dxa"/>
            <w:vAlign w:val="bottom"/>
          </w:tcPr>
          <w:p>
            <w:pPr>
              <w:spacing w:after="0"/>
              <w:rPr>
                <w:sz w:val="24"/>
                <w:szCs w:val="24"/>
                <w:color w:val="auto"/>
              </w:rPr>
            </w:pPr>
          </w:p>
        </w:tc>
        <w:tc>
          <w:tcPr>
            <w:tcW w:w="1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Financial Statements</w:t>
      </w:r>
    </w:p>
    <w:p>
      <w:pPr>
        <w:sectPr>
          <w:pgSz w:w="11900" w:h="16838" w:orient="portrait"/>
          <w:cols w:equalWidth="0" w:num="1">
            <w:col w:w="10219"/>
          </w:cols>
          <w:pgMar w:left="240" w:top="285" w:right="1440" w:bottom="144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5</w:t>
      </w:r>
    </w:p>
    <w:p>
      <w:pPr>
        <w:spacing w:after="0" w:line="2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INTERACTIVE INC.</w:t>
      </w:r>
    </w:p>
    <w:p>
      <w:pPr>
        <w:ind w:left="2320"/>
        <w:spacing w:after="0" w:line="238" w:lineRule="auto"/>
        <w:rPr>
          <w:sz w:val="20"/>
          <w:szCs w:val="20"/>
          <w:color w:val="auto"/>
        </w:rPr>
      </w:pPr>
      <w:r>
        <w:rPr>
          <w:rFonts w:ascii="Courier New" w:cs="Courier New" w:eastAsia="Courier New" w:hAnsi="Courier New"/>
          <w:sz w:val="18"/>
          <w:szCs w:val="18"/>
          <w:color w:val="auto"/>
        </w:rPr>
        <w:t>STATEMENT OF STOCKHOLDERS EQUITY</w:t>
      </w:r>
    </w:p>
    <w:p>
      <w:pPr>
        <w:ind w:left="2320"/>
        <w:spacing w:after="0"/>
        <w:rPr>
          <w:sz w:val="20"/>
          <w:szCs w:val="20"/>
          <w:color w:val="auto"/>
        </w:rPr>
      </w:pPr>
      <w:r>
        <w:rPr>
          <w:rFonts w:ascii="Courier New" w:cs="Courier New" w:eastAsia="Courier New" w:hAnsi="Courier New"/>
          <w:sz w:val="18"/>
          <w:szCs w:val="18"/>
          <w:color w:val="auto"/>
        </w:rPr>
        <w:t>Nine Months ended June 30, 1999</w:t>
      </w:r>
    </w:p>
    <w:tbl>
      <w:tblPr>
        <w:tblLayout w:type="fixed"/>
        <w:tblInd w:w="0" w:type="dxa"/>
        <w:tblCellMar>
          <w:top w:w="0" w:type="dxa"/>
          <w:left w:w="0" w:type="dxa"/>
          <w:bottom w:w="0" w:type="dxa"/>
          <w:right w:w="0" w:type="dxa"/>
        </w:tblCellMar>
      </w:tblPr>
      <w:tr>
        <w:trPr>
          <w:trHeight w:val="296"/>
        </w:trPr>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(Unaudited)</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vMerge w:val="restart"/>
          </w:tcPr>
          <w:p>
            <w:pPr>
              <w:spacing w:after="0"/>
              <w:rPr>
                <w:sz w:val="20"/>
                <w:szCs w:val="20"/>
                <w:color w:val="auto"/>
              </w:rPr>
            </w:pPr>
            <w:r>
              <w:rPr>
                <w:rFonts w:ascii="Courier New" w:cs="Courier New" w:eastAsia="Courier New" w:hAnsi="Courier New"/>
                <w:sz w:val="18"/>
                <w:szCs w:val="18"/>
                <w:color w:val="auto"/>
              </w:rPr>
              <w:t>Additional</w:t>
            </w:r>
          </w:p>
        </w:tc>
        <w:tc>
          <w:tcPr>
            <w:tcW w:w="138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Retained</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gridSpan w:val="4"/>
            <w:vMerge w:val="restart"/>
          </w:tcPr>
          <w:p>
            <w:pPr>
              <w:jc w:val="right"/>
              <w:ind w:right="452"/>
              <w:spacing w:after="0"/>
              <w:rPr>
                <w:sz w:val="20"/>
                <w:szCs w:val="20"/>
                <w:color w:val="auto"/>
              </w:rPr>
            </w:pPr>
            <w:r>
              <w:rPr>
                <w:rFonts w:ascii="Courier New" w:cs="Courier New" w:eastAsia="Courier New" w:hAnsi="Courier New"/>
                <w:sz w:val="18"/>
                <w:szCs w:val="18"/>
                <w:color w:val="auto"/>
                <w:w w:val="98"/>
              </w:rPr>
              <w:t>Capital Stock Issued</w:t>
            </w:r>
          </w:p>
        </w:tc>
        <w:tc>
          <w:tcPr>
            <w:tcW w:w="1360" w:type="dxa"/>
            <w:vAlign w:val="bottom"/>
            <w:vMerge w:val="continue"/>
          </w:tcPr>
          <w:p>
            <w:pPr>
              <w:spacing w:after="0"/>
              <w:rPr>
                <w:sz w:val="17"/>
                <w:szCs w:val="17"/>
                <w:color w:val="auto"/>
              </w:rPr>
            </w:pP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Earnings</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gridSpan w:val="4"/>
            <w:vMerge w:val="continue"/>
          </w:tcPr>
          <w:p>
            <w:pPr>
              <w:spacing w:after="0"/>
              <w:rPr>
                <w:sz w:val="17"/>
                <w:szCs w:val="17"/>
                <w:color w:val="auto"/>
              </w:rPr>
            </w:pP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Paid-in</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(Accumulated</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Preferred</w:t>
            </w:r>
          </w:p>
        </w:tc>
        <w:tc>
          <w:tcPr>
            <w:tcW w:w="1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Preferred</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1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Capital</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Deficit)</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Series A</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Series B</w:t>
            </w:r>
          </w:p>
        </w:tc>
        <w:tc>
          <w:tcPr>
            <w:tcW w:w="2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w:t>
            </w:r>
          </w:p>
        </w:tc>
        <w:tc>
          <w:tcPr>
            <w:tcW w:w="13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740" w:type="dxa"/>
            <w:vAlign w:val="bottom"/>
          </w:tcPr>
          <w:p>
            <w:pPr>
              <w:spacing w:after="0"/>
              <w:rPr>
                <w:sz w:val="24"/>
                <w:szCs w:val="24"/>
                <w:color w:val="auto"/>
              </w:rPr>
            </w:pPr>
          </w:p>
        </w:tc>
        <w:tc>
          <w:tcPr>
            <w:tcW w:w="1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6"/>
              </w:rPr>
              <w:t>---------</w:t>
            </w:r>
          </w:p>
        </w:tc>
        <w:tc>
          <w:tcPr>
            <w:tcW w:w="11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7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740" w:type="dxa"/>
            <w:vAlign w:val="bottom"/>
          </w:tcPr>
          <w:p>
            <w:pPr>
              <w:spacing w:after="0"/>
              <w:rPr>
                <w:sz w:val="20"/>
                <w:szCs w:val="20"/>
                <w:color w:val="auto"/>
              </w:rPr>
            </w:pPr>
            <w:r>
              <w:rPr>
                <w:rFonts w:ascii="Courier New" w:cs="Courier New" w:eastAsia="Courier New" w:hAnsi="Courier New"/>
                <w:sz w:val="18"/>
                <w:szCs w:val="18"/>
                <w:color w:val="auto"/>
              </w:rPr>
              <w:t>Balance, September 30,</w:t>
            </w:r>
          </w:p>
        </w:tc>
        <w:tc>
          <w:tcPr>
            <w:tcW w:w="280" w:type="dxa"/>
            <w:vAlign w:val="bottom"/>
            <w:vMerge w:val="restart"/>
          </w:tcPr>
          <w:p>
            <w:pPr>
              <w:spacing w:after="0"/>
              <w:rPr>
                <w:sz w:val="20"/>
                <w:szCs w:val="20"/>
                <w:color w:val="auto"/>
              </w:rPr>
            </w:pPr>
            <w:r>
              <w:rPr>
                <w:rFonts w:ascii="Courier New" w:cs="Courier New" w:eastAsia="Courier New" w:hAnsi="Courier New"/>
                <w:sz w:val="18"/>
                <w:szCs w:val="18"/>
                <w:color w:val="auto"/>
              </w:rPr>
              <w:t>$</w:t>
            </w:r>
          </w:p>
        </w:tc>
        <w:tc>
          <w:tcPr>
            <w:tcW w:w="7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114</w:t>
            </w:r>
          </w:p>
        </w:tc>
        <w:tc>
          <w:tcPr>
            <w:tcW w:w="9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w:t>
            </w:r>
          </w:p>
        </w:tc>
        <w:tc>
          <w:tcPr>
            <w:tcW w:w="2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2"/>
              </w:rPr>
              <w:t>0</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$3,290</w:t>
            </w:r>
          </w:p>
        </w:tc>
        <w:tc>
          <w:tcPr>
            <w:tcW w:w="136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$6,834,594</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$(9,465,690)</w:t>
            </w:r>
          </w:p>
        </w:tc>
        <w:tc>
          <w:tcPr>
            <w:tcW w:w="0" w:type="dxa"/>
            <w:vAlign w:val="bottom"/>
          </w:tcPr>
          <w:p>
            <w:pPr>
              <w:spacing w:after="0"/>
              <w:rPr>
                <w:sz w:val="1"/>
                <w:szCs w:val="1"/>
                <w:color w:val="auto"/>
              </w:rPr>
            </w:pPr>
          </w:p>
        </w:tc>
      </w:tr>
      <w:tr>
        <w:trPr>
          <w:trHeight w:val="296"/>
        </w:trPr>
        <w:tc>
          <w:tcPr>
            <w:tcW w:w="2740" w:type="dxa"/>
            <w:vAlign w:val="bottom"/>
          </w:tcPr>
          <w:p>
            <w:pPr>
              <w:ind w:left="540"/>
              <w:spacing w:after="0"/>
              <w:rPr>
                <w:sz w:val="20"/>
                <w:szCs w:val="20"/>
                <w:color w:val="auto"/>
              </w:rPr>
            </w:pPr>
            <w:r>
              <w:rPr>
                <w:rFonts w:ascii="Courier New" w:cs="Courier New" w:eastAsia="Courier New" w:hAnsi="Courier New"/>
                <w:sz w:val="18"/>
                <w:szCs w:val="18"/>
                <w:color w:val="auto"/>
              </w:rPr>
              <w:t>1998</w:t>
            </w:r>
          </w:p>
        </w:tc>
        <w:tc>
          <w:tcPr>
            <w:tcW w:w="280" w:type="dxa"/>
            <w:vAlign w:val="bottom"/>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w w:val="96"/>
              </w:rPr>
              <w:t>Issuance of common stock</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1,676</w:t>
            </w:r>
          </w:p>
        </w:tc>
        <w:tc>
          <w:tcPr>
            <w:tcW w:w="136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2,071,615</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02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for  settlement of debt</w:t>
            </w: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Issuance of Series B preferred</w:t>
            </w: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2,000</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80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stock for settlement of debt</w:t>
            </w:r>
          </w:p>
        </w:tc>
        <w:tc>
          <w:tcPr>
            <w:tcW w:w="9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Net loss</w:t>
            </w:r>
          </w:p>
        </w:tc>
        <w:tc>
          <w:tcPr>
            <w:tcW w:w="106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vMerge w:val="restart"/>
          </w:tcPr>
          <w:p>
            <w:pPr>
              <w:ind w:left="320"/>
              <w:spacing w:after="0"/>
              <w:rPr>
                <w:sz w:val="20"/>
                <w:szCs w:val="20"/>
                <w:color w:val="auto"/>
              </w:rPr>
            </w:pPr>
            <w:r>
              <w:rPr>
                <w:rFonts w:ascii="Courier New" w:cs="Courier New" w:eastAsia="Courier New" w:hAnsi="Courier New"/>
                <w:sz w:val="18"/>
                <w:szCs w:val="18"/>
                <w:color w:val="auto"/>
                <w:w w:val="94"/>
              </w:rPr>
              <w:t>----------</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(390,135)</w:t>
            </w:r>
          </w:p>
        </w:tc>
        <w:tc>
          <w:tcPr>
            <w:tcW w:w="0" w:type="dxa"/>
            <w:vAlign w:val="bottom"/>
          </w:tcPr>
          <w:p>
            <w:pPr>
              <w:spacing w:after="0"/>
              <w:rPr>
                <w:sz w:val="1"/>
                <w:szCs w:val="1"/>
                <w:color w:val="auto"/>
              </w:rPr>
            </w:pPr>
          </w:p>
        </w:tc>
      </w:tr>
      <w:tr>
        <w:trPr>
          <w:trHeight w:val="203"/>
        </w:trPr>
        <w:tc>
          <w:tcPr>
            <w:tcW w:w="2740" w:type="dxa"/>
            <w:vAlign w:val="bottom"/>
            <w:vMerge w:val="restart"/>
          </w:tcPr>
          <w:p>
            <w:pPr>
              <w:spacing w:after="0"/>
              <w:rPr>
                <w:sz w:val="20"/>
                <w:szCs w:val="20"/>
                <w:color w:val="auto"/>
              </w:rPr>
            </w:pPr>
            <w:r>
              <w:rPr>
                <w:rFonts w:ascii="Courier New" w:cs="Courier New" w:eastAsia="Courier New" w:hAnsi="Courier New"/>
                <w:sz w:val="18"/>
                <w:szCs w:val="18"/>
                <w:color w:val="auto"/>
              </w:rPr>
              <w:t>Balance, June 30, 1999</w:t>
            </w:r>
          </w:p>
        </w:tc>
        <w:tc>
          <w:tcPr>
            <w:tcW w:w="106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40" w:type="dxa"/>
            <w:vAlign w:val="bottom"/>
            <w:vMerge w:val="continue"/>
          </w:tcPr>
          <w:p>
            <w:pPr>
              <w:spacing w:after="0"/>
              <w:rPr>
                <w:sz w:val="17"/>
                <w:szCs w:val="17"/>
                <w:color w:val="auto"/>
              </w:rPr>
            </w:pP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$4,965</w:t>
            </w:r>
          </w:p>
        </w:tc>
        <w:tc>
          <w:tcPr>
            <w:tcW w:w="1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$6,834,594</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$(9,855,825)</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4"/>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740" w:type="dxa"/>
            <w:vAlign w:val="bottom"/>
          </w:tcPr>
          <w:p>
            <w:pPr>
              <w:spacing w:after="0"/>
              <w:rPr>
                <w:sz w:val="24"/>
                <w:szCs w:val="24"/>
                <w:color w:val="auto"/>
              </w:rPr>
            </w:pPr>
          </w:p>
        </w:tc>
        <w:tc>
          <w:tcPr>
            <w:tcW w:w="10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ind w:left="320"/>
              <w:spacing w:after="0"/>
              <w:rPr>
                <w:sz w:val="20"/>
                <w:szCs w:val="20"/>
                <w:color w:val="auto"/>
              </w:rPr>
            </w:pPr>
            <w:r>
              <w:rPr>
                <w:rFonts w:ascii="Courier New" w:cs="Courier New" w:eastAsia="Courier New" w:hAnsi="Courier New"/>
                <w:sz w:val="18"/>
                <w:szCs w:val="18"/>
                <w:color w:val="auto"/>
                <w:w w:val="94"/>
              </w:rPr>
              <w:t>----------</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Financial Statements.</w:t>
      </w:r>
    </w:p>
    <w:p>
      <w:pPr>
        <w:sectPr>
          <w:pgSz w:w="11900" w:h="16838" w:orient="portrait"/>
          <w:cols w:equalWidth="0" w:num="1">
            <w:col w:w="10219"/>
          </w:cols>
          <w:pgMar w:left="240" w:top="28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96"/>
        </w:trPr>
        <w:tc>
          <w:tcPr>
            <w:tcW w:w="5480" w:type="dxa"/>
            <w:vAlign w:val="bottom"/>
          </w:tcPr>
          <w:p>
            <w:pPr>
              <w:ind w:left="120"/>
              <w:spacing w:after="0"/>
              <w:rPr>
                <w:sz w:val="20"/>
                <w:szCs w:val="20"/>
                <w:color w:val="auto"/>
              </w:rPr>
            </w:pPr>
            <w:r>
              <w:rPr>
                <w:rFonts w:ascii="Courier New" w:cs="Courier New" w:eastAsia="Courier New" w:hAnsi="Courier New"/>
                <w:sz w:val="18"/>
                <w:szCs w:val="18"/>
                <w:color w:val="auto"/>
              </w:rPr>
              <w:t>6</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4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INTERACTIVE INC.</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440"/>
              <w:spacing w:after="0" w:line="203" w:lineRule="exact"/>
              <w:rPr>
                <w:sz w:val="20"/>
                <w:szCs w:val="20"/>
                <w:color w:val="auto"/>
              </w:rPr>
            </w:pPr>
            <w:r>
              <w:rPr>
                <w:rFonts w:ascii="Courier New" w:cs="Courier New" w:eastAsia="Courier New" w:hAnsi="Courier New"/>
                <w:sz w:val="18"/>
                <w:szCs w:val="18"/>
                <w:color w:val="auto"/>
              </w:rPr>
              <w:t>STATEMENTS OF CASH FLOWS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gridSpan w:val="3"/>
          </w:tcPr>
          <w:p>
            <w:pPr>
              <w:ind w:left="1800"/>
              <w:spacing w:after="0" w:line="203" w:lineRule="exact"/>
              <w:rPr>
                <w:sz w:val="20"/>
                <w:szCs w:val="20"/>
                <w:color w:val="auto"/>
              </w:rPr>
            </w:pPr>
            <w:r>
              <w:rPr>
                <w:rFonts w:ascii="Courier New" w:cs="Courier New" w:eastAsia="Courier New" w:hAnsi="Courier New"/>
                <w:sz w:val="18"/>
                <w:szCs w:val="18"/>
                <w:color w:val="auto"/>
              </w:rPr>
              <w:t>Nine Months Ended June 30, 1999 and 1998</w:t>
            </w: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4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(Unaudited)</w:t>
            </w:r>
          </w:p>
        </w:tc>
        <w:tc>
          <w:tcPr>
            <w:tcW w:w="2740" w:type="dxa"/>
            <w:vAlign w:val="bottom"/>
            <w:gridSpan w:val="4"/>
            <w:vMerge w:val="restart"/>
          </w:tcPr>
          <w:p>
            <w:pPr>
              <w:jc w:val="right"/>
              <w:spacing w:after="0"/>
              <w:rPr>
                <w:sz w:val="20"/>
                <w:szCs w:val="20"/>
                <w:color w:val="auto"/>
              </w:rPr>
            </w:pPr>
            <w:r>
              <w:rPr>
                <w:rFonts w:ascii="Courier New" w:cs="Courier New" w:eastAsia="Courier New" w:hAnsi="Courier New"/>
                <w:sz w:val="18"/>
                <w:szCs w:val="18"/>
                <w:color w:val="auto"/>
                <w:w w:val="96"/>
              </w:rPr>
              <w:t>Nine months ended June 30,</w:t>
            </w:r>
          </w:p>
        </w:tc>
        <w:tc>
          <w:tcPr>
            <w:tcW w:w="0" w:type="dxa"/>
            <w:vAlign w:val="bottom"/>
          </w:tcPr>
          <w:p>
            <w:pPr>
              <w:spacing w:after="0"/>
              <w:rPr>
                <w:sz w:val="1"/>
                <w:szCs w:val="1"/>
                <w:color w:val="auto"/>
              </w:rPr>
            </w:pPr>
          </w:p>
        </w:tc>
      </w:tr>
      <w:tr>
        <w:trPr>
          <w:trHeight w:val="109"/>
        </w:trPr>
        <w:tc>
          <w:tcPr>
            <w:tcW w:w="5480" w:type="dxa"/>
            <w:vAlign w:val="bottom"/>
          </w:tcPr>
          <w:p>
            <w:pPr>
              <w:spacing w:after="0"/>
              <w:rPr>
                <w:sz w:val="9"/>
                <w:szCs w:val="9"/>
                <w:color w:val="auto"/>
              </w:rPr>
            </w:pPr>
          </w:p>
        </w:tc>
        <w:tc>
          <w:tcPr>
            <w:tcW w:w="27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1999</w:t>
            </w:r>
          </w:p>
        </w:tc>
        <w:tc>
          <w:tcPr>
            <w:tcW w:w="540" w:type="dxa"/>
            <w:vAlign w:val="bottom"/>
          </w:tcPr>
          <w:p>
            <w:pPr>
              <w:spacing w:after="0"/>
              <w:rPr>
                <w:sz w:val="17"/>
                <w:szCs w:val="17"/>
                <w:color w:val="auto"/>
              </w:rPr>
            </w:pP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1998</w:t>
            </w:r>
          </w:p>
        </w:tc>
        <w:tc>
          <w:tcPr>
            <w:tcW w:w="0" w:type="dxa"/>
            <w:vAlign w:val="bottom"/>
          </w:tcPr>
          <w:p>
            <w:pPr>
              <w:spacing w:after="0"/>
              <w:rPr>
                <w:sz w:val="1"/>
                <w:szCs w:val="1"/>
                <w:color w:val="auto"/>
              </w:rPr>
            </w:pPr>
          </w:p>
        </w:tc>
      </w:tr>
      <w:tr>
        <w:trPr>
          <w:trHeight w:val="296"/>
        </w:trPr>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CASH FLOW FROM OPERATING ACTIVITIES</w:t>
            </w:r>
          </w:p>
        </w:tc>
        <w:tc>
          <w:tcPr>
            <w:tcW w:w="1420" w:type="dxa"/>
            <w:vAlign w:val="bottom"/>
            <w:gridSpan w:val="2"/>
          </w:tcPr>
          <w:p>
            <w:pPr>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5480" w:type="dxa"/>
            <w:vAlign w:val="bottom"/>
            <w:vMerge w:val="continue"/>
          </w:tcPr>
          <w:p>
            <w:pPr>
              <w:spacing w:after="0"/>
              <w:rPr>
                <w:sz w:val="9"/>
                <w:szCs w:val="9"/>
                <w:color w:val="auto"/>
              </w:rPr>
            </w:pPr>
          </w:p>
        </w:tc>
        <w:tc>
          <w:tcPr>
            <w:tcW w:w="142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 (390,135)</w:t>
            </w:r>
          </w:p>
        </w:tc>
        <w:tc>
          <w:tcPr>
            <w:tcW w:w="132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 (26,624)</w:t>
            </w: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loss</w:t>
            </w:r>
          </w:p>
        </w:tc>
        <w:tc>
          <w:tcPr>
            <w:tcW w:w="142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loss to net cash</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(used in) operating activities:</w:t>
            </w:r>
          </w:p>
        </w:tc>
        <w:tc>
          <w:tcPr>
            <w:tcW w:w="160" w:type="dxa"/>
            <w:vAlign w:val="bottom"/>
          </w:tcPr>
          <w:p>
            <w:pPr>
              <w:spacing w:after="0"/>
              <w:rPr>
                <w:sz w:val="17"/>
                <w:szCs w:val="17"/>
                <w:color w:val="auto"/>
              </w:rPr>
            </w:pPr>
          </w:p>
        </w:tc>
        <w:tc>
          <w:tcPr>
            <w:tcW w:w="12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4,976</w:t>
            </w:r>
          </w:p>
        </w:tc>
        <w:tc>
          <w:tcPr>
            <w:tcW w:w="540" w:type="dxa"/>
            <w:vAlign w:val="bottom"/>
          </w:tcPr>
          <w:p>
            <w:pPr>
              <w:spacing w:after="0"/>
              <w:rPr>
                <w:sz w:val="17"/>
                <w:szCs w:val="17"/>
                <w:color w:val="auto"/>
              </w:rPr>
            </w:pPr>
          </w:p>
        </w:tc>
        <w:tc>
          <w:tcPr>
            <w:tcW w:w="7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13,734</w:t>
            </w:r>
          </w:p>
        </w:tc>
        <w:tc>
          <w:tcPr>
            <w:tcW w:w="0" w:type="dxa"/>
            <w:vAlign w:val="bottom"/>
          </w:tcPr>
          <w:p>
            <w:pPr>
              <w:spacing w:after="0"/>
              <w:rPr>
                <w:sz w:val="1"/>
                <w:szCs w:val="1"/>
                <w:color w:val="auto"/>
              </w:rPr>
            </w:pP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Issuance of common stock for services</w:t>
            </w:r>
          </w:p>
        </w:tc>
        <w:tc>
          <w:tcPr>
            <w:tcW w:w="16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5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w:t>
            </w:r>
          </w:p>
        </w:tc>
        <w:tc>
          <w:tcPr>
            <w:tcW w:w="0" w:type="dxa"/>
            <w:vAlign w:val="bottom"/>
          </w:tcPr>
          <w:p>
            <w:pPr>
              <w:spacing w:after="0"/>
              <w:rPr>
                <w:sz w:val="1"/>
                <w:szCs w:val="1"/>
                <w:color w:val="auto"/>
              </w:rPr>
            </w:pP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Change in assets and liabilities</w:t>
            </w:r>
          </w:p>
        </w:tc>
        <w:tc>
          <w:tcPr>
            <w:tcW w:w="160" w:type="dxa"/>
            <w:vAlign w:val="bottom"/>
          </w:tcPr>
          <w:p>
            <w:pPr>
              <w:spacing w:after="0"/>
              <w:rPr>
                <w:sz w:val="17"/>
                <w:szCs w:val="17"/>
                <w:color w:val="auto"/>
              </w:rPr>
            </w:pPr>
          </w:p>
        </w:tc>
        <w:tc>
          <w:tcPr>
            <w:tcW w:w="12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721</w:t>
            </w:r>
          </w:p>
        </w:tc>
        <w:tc>
          <w:tcPr>
            <w:tcW w:w="540" w:type="dxa"/>
            <w:vAlign w:val="bottom"/>
          </w:tcPr>
          <w:p>
            <w:pPr>
              <w:spacing w:after="0"/>
              <w:rPr>
                <w:sz w:val="17"/>
                <w:szCs w:val="17"/>
                <w:color w:val="auto"/>
              </w:rPr>
            </w:pPr>
          </w:p>
        </w:tc>
        <w:tc>
          <w:tcPr>
            <w:tcW w:w="7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6,329</w:t>
            </w:r>
          </w:p>
        </w:tc>
        <w:tc>
          <w:tcPr>
            <w:tcW w:w="0" w:type="dxa"/>
            <w:vAlign w:val="bottom"/>
          </w:tcPr>
          <w:p>
            <w:pPr>
              <w:spacing w:after="0"/>
              <w:rPr>
                <w:sz w:val="1"/>
                <w:szCs w:val="1"/>
                <w:color w:val="auto"/>
              </w:rPr>
            </w:pPr>
          </w:p>
        </w:tc>
      </w:tr>
      <w:tr>
        <w:trPr>
          <w:trHeight w:val="203"/>
        </w:trPr>
        <w:tc>
          <w:tcPr>
            <w:tcW w:w="5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Decrease in receivables</w:t>
            </w:r>
          </w:p>
        </w:tc>
        <w:tc>
          <w:tcPr>
            <w:tcW w:w="1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Decrease (increase) in inventories</w:t>
            </w:r>
          </w:p>
        </w:tc>
        <w:tc>
          <w:tcPr>
            <w:tcW w:w="16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1,532</w:t>
            </w:r>
          </w:p>
        </w:tc>
        <w:tc>
          <w:tcPr>
            <w:tcW w:w="5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(2,226)</w:t>
            </w:r>
          </w:p>
        </w:tc>
        <w:tc>
          <w:tcPr>
            <w:tcW w:w="0" w:type="dxa"/>
            <w:vAlign w:val="bottom"/>
          </w:tcPr>
          <w:p>
            <w:pPr>
              <w:spacing w:after="0"/>
              <w:rPr>
                <w:sz w:val="1"/>
                <w:szCs w:val="1"/>
                <w:color w:val="auto"/>
              </w:rPr>
            </w:pPr>
          </w:p>
        </w:tc>
      </w:tr>
      <w:tr>
        <w:trPr>
          <w:trHeight w:val="203"/>
        </w:trPr>
        <w:tc>
          <w:tcPr>
            <w:tcW w:w="5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Decrease in prepaid expenses and other</w:t>
            </w:r>
          </w:p>
        </w:tc>
        <w:tc>
          <w:tcPr>
            <w:tcW w:w="16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622</w:t>
            </w:r>
          </w:p>
        </w:tc>
        <w:tc>
          <w:tcPr>
            <w:tcW w:w="5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5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(Decrease) in notes payable, related party</w:t>
            </w:r>
          </w:p>
        </w:tc>
        <w:tc>
          <w:tcPr>
            <w:tcW w:w="16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(258,500)</w:t>
            </w:r>
          </w:p>
        </w:tc>
        <w:tc>
          <w:tcPr>
            <w:tcW w:w="5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5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7"/>
              </w:rPr>
              <w:t>Increase (decrease) in accounts payable, trade</w:t>
            </w:r>
          </w:p>
        </w:tc>
        <w:tc>
          <w:tcPr>
            <w:tcW w:w="16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(978,109)</w:t>
            </w:r>
          </w:p>
        </w:tc>
        <w:tc>
          <w:tcPr>
            <w:tcW w:w="5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12,200</w:t>
            </w:r>
          </w:p>
        </w:tc>
        <w:tc>
          <w:tcPr>
            <w:tcW w:w="0" w:type="dxa"/>
            <w:vAlign w:val="bottom"/>
          </w:tcPr>
          <w:p>
            <w:pPr>
              <w:spacing w:after="0"/>
              <w:rPr>
                <w:sz w:val="1"/>
                <w:szCs w:val="1"/>
                <w:color w:val="auto"/>
              </w:rPr>
            </w:pPr>
          </w:p>
        </w:tc>
      </w:tr>
      <w:tr>
        <w:trPr>
          <w:trHeight w:val="203"/>
        </w:trPr>
        <w:tc>
          <w:tcPr>
            <w:tcW w:w="5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(Decrease) in accounts payable,</w:t>
            </w:r>
          </w:p>
        </w:tc>
        <w:tc>
          <w:tcPr>
            <w:tcW w:w="160" w:type="dxa"/>
            <w:vAlign w:val="bottom"/>
          </w:tcPr>
          <w:p>
            <w:pPr>
              <w:spacing w:after="0"/>
              <w:rPr>
                <w:sz w:val="17"/>
                <w:szCs w:val="17"/>
                <w:color w:val="auto"/>
              </w:rPr>
            </w:pPr>
          </w:p>
        </w:tc>
        <w:tc>
          <w:tcPr>
            <w:tcW w:w="12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(296,297)</w:t>
            </w:r>
          </w:p>
        </w:tc>
        <w:tc>
          <w:tcPr>
            <w:tcW w:w="540" w:type="dxa"/>
            <w:vAlign w:val="bottom"/>
          </w:tcPr>
          <w:p>
            <w:pPr>
              <w:spacing w:after="0"/>
              <w:rPr>
                <w:sz w:val="17"/>
                <w:szCs w:val="17"/>
                <w:color w:val="auto"/>
              </w:rPr>
            </w:pPr>
          </w:p>
        </w:tc>
        <w:tc>
          <w:tcPr>
            <w:tcW w:w="7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54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Torrey Pines Research</w:t>
            </w:r>
          </w:p>
        </w:tc>
        <w:tc>
          <w:tcPr>
            <w:tcW w:w="1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Increase in accrued expenses</w:t>
            </w:r>
          </w:p>
        </w:tc>
        <w:tc>
          <w:tcPr>
            <w:tcW w:w="16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85,417</w:t>
            </w:r>
          </w:p>
        </w:tc>
        <w:tc>
          <w:tcPr>
            <w:tcW w:w="5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48,375</w:t>
            </w:r>
          </w:p>
        </w:tc>
        <w:tc>
          <w:tcPr>
            <w:tcW w:w="0" w:type="dxa"/>
            <w:vAlign w:val="bottom"/>
          </w:tcPr>
          <w:p>
            <w:pPr>
              <w:spacing w:after="0"/>
              <w:rPr>
                <w:sz w:val="1"/>
                <w:szCs w:val="1"/>
                <w:color w:val="auto"/>
              </w:rPr>
            </w:pPr>
          </w:p>
        </w:tc>
      </w:tr>
      <w:tr>
        <w:trPr>
          <w:trHeight w:val="203"/>
        </w:trPr>
        <w:tc>
          <w:tcPr>
            <w:tcW w:w="548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Net cash (used in) operating activities</w:t>
            </w: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480" w:type="dxa"/>
            <w:vAlign w:val="bottom"/>
            <w:vMerge w:val="continue"/>
          </w:tcPr>
          <w:p>
            <w:pPr>
              <w:spacing w:after="0"/>
              <w:rPr>
                <w:sz w:val="24"/>
                <w:szCs w:val="24"/>
                <w:color w:val="auto"/>
              </w:rPr>
            </w:pPr>
          </w:p>
        </w:tc>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245,518</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(44,887)</w:t>
            </w:r>
          </w:p>
        </w:tc>
        <w:tc>
          <w:tcPr>
            <w:tcW w:w="0" w:type="dxa"/>
            <w:vAlign w:val="bottom"/>
          </w:tcPr>
          <w:p>
            <w:pPr>
              <w:spacing w:after="0"/>
              <w:rPr>
                <w:sz w:val="1"/>
                <w:szCs w:val="1"/>
                <w:color w:val="auto"/>
              </w:rPr>
            </w:pPr>
          </w:p>
        </w:tc>
      </w:tr>
      <w:tr>
        <w:trPr>
          <w:trHeight w:val="311"/>
        </w:trPr>
        <w:tc>
          <w:tcPr>
            <w:tcW w:w="5480" w:type="dxa"/>
            <w:vAlign w:val="bottom"/>
          </w:tcPr>
          <w:p>
            <w:pPr>
              <w:spacing w:after="0"/>
              <w:rPr>
                <w:sz w:val="20"/>
                <w:szCs w:val="20"/>
                <w:color w:val="auto"/>
              </w:rPr>
            </w:pPr>
            <w:r>
              <w:rPr>
                <w:rFonts w:ascii="Courier New" w:cs="Courier New" w:eastAsia="Courier New" w:hAnsi="Courier New"/>
                <w:sz w:val="18"/>
                <w:szCs w:val="18"/>
                <w:color w:val="auto"/>
              </w:rPr>
              <w:t>CASH FLOW FROM FINANCING ACTIVITIES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Issuance of common stock in settlement</w:t>
            </w:r>
          </w:p>
        </w:tc>
        <w:tc>
          <w:tcPr>
            <w:tcW w:w="142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 (245,985)</w:t>
            </w:r>
          </w:p>
        </w:tc>
        <w:tc>
          <w:tcPr>
            <w:tcW w:w="5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7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5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long term debt</w:t>
            </w:r>
          </w:p>
        </w:tc>
        <w:tc>
          <w:tcPr>
            <w:tcW w:w="1420" w:type="dxa"/>
            <w:vAlign w:val="bottom"/>
            <w:gridSpan w:val="2"/>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long term debt</w:t>
            </w:r>
          </w:p>
        </w:tc>
        <w:tc>
          <w:tcPr>
            <w:tcW w:w="16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5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46,000</w:t>
            </w: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Principal payments on long term debt</w:t>
            </w:r>
          </w:p>
        </w:tc>
        <w:tc>
          <w:tcPr>
            <w:tcW w:w="16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500</w:t>
            </w:r>
          </w:p>
        </w:tc>
        <w:tc>
          <w:tcPr>
            <w:tcW w:w="5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5480" w:type="dxa"/>
            <w:vAlign w:val="bottom"/>
            <w:vMerge w:val="restart"/>
          </w:tcPr>
          <w:p>
            <w:pPr>
              <w:ind w:left="860"/>
              <w:spacing w:after="0"/>
              <w:rPr>
                <w:sz w:val="20"/>
                <w:szCs w:val="20"/>
                <w:color w:val="auto"/>
              </w:rPr>
            </w:pPr>
            <w:r>
              <w:rPr>
                <w:rFonts w:ascii="Courier New" w:cs="Courier New" w:eastAsia="Courier New" w:hAnsi="Courier New"/>
                <w:sz w:val="18"/>
                <w:szCs w:val="18"/>
                <w:color w:val="auto"/>
              </w:rPr>
              <w:t>Net cash provided by financing activities</w:t>
            </w: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80" w:type="dxa"/>
            <w:vAlign w:val="bottom"/>
            <w:vMerge w:val="continue"/>
          </w:tcPr>
          <w:p>
            <w:pPr>
              <w:spacing w:after="0"/>
              <w:rPr>
                <w:sz w:val="17"/>
                <w:szCs w:val="17"/>
                <w:color w:val="auto"/>
              </w:rPr>
            </w:pP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(245,485)</w:t>
            </w:r>
          </w:p>
        </w:tc>
        <w:tc>
          <w:tcPr>
            <w:tcW w:w="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46,000</w:t>
            </w:r>
          </w:p>
        </w:tc>
        <w:tc>
          <w:tcPr>
            <w:tcW w:w="0" w:type="dxa"/>
            <w:vAlign w:val="bottom"/>
          </w:tcPr>
          <w:p>
            <w:pPr>
              <w:spacing w:after="0"/>
              <w:rPr>
                <w:sz w:val="1"/>
                <w:szCs w:val="1"/>
                <w:color w:val="auto"/>
              </w:rPr>
            </w:pPr>
          </w:p>
        </w:tc>
      </w:tr>
      <w:tr>
        <w:trPr>
          <w:trHeight w:val="296"/>
        </w:trPr>
        <w:tc>
          <w:tcPr>
            <w:tcW w:w="548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5480" w:type="dxa"/>
            <w:vAlign w:val="bottom"/>
          </w:tcPr>
          <w:p>
            <w:pPr>
              <w:ind w:left="1060"/>
              <w:spacing w:after="0"/>
              <w:rPr>
                <w:sz w:val="20"/>
                <w:szCs w:val="20"/>
                <w:color w:val="auto"/>
              </w:rPr>
            </w:pPr>
            <w:r>
              <w:rPr>
                <w:rFonts w:ascii="Courier New" w:cs="Courier New" w:eastAsia="Courier New" w:hAnsi="Courier New"/>
                <w:sz w:val="18"/>
                <w:szCs w:val="18"/>
                <w:color w:val="auto"/>
                <w:w w:val="99"/>
              </w:rPr>
              <w:t>Net increase in cash and cash equivalents</w:t>
            </w:r>
          </w:p>
        </w:tc>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33</w:t>
            </w:r>
          </w:p>
        </w:tc>
        <w:tc>
          <w:tcPr>
            <w:tcW w:w="5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1,113</w:t>
            </w:r>
          </w:p>
        </w:tc>
        <w:tc>
          <w:tcPr>
            <w:tcW w:w="0" w:type="dxa"/>
            <w:vAlign w:val="bottom"/>
          </w:tcPr>
          <w:p>
            <w:pPr>
              <w:spacing w:after="0"/>
              <w:rPr>
                <w:sz w:val="1"/>
                <w:szCs w:val="1"/>
                <w:color w:val="auto"/>
              </w:rPr>
            </w:pPr>
          </w:p>
        </w:tc>
      </w:tr>
      <w:tr>
        <w:trPr>
          <w:trHeight w:val="311"/>
        </w:trPr>
        <w:tc>
          <w:tcPr>
            <w:tcW w:w="548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60" w:type="dxa"/>
            <w:vAlign w:val="bottom"/>
            <w:vMerge w:val="restart"/>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1,018</w:t>
            </w:r>
          </w:p>
        </w:tc>
        <w:tc>
          <w:tcPr>
            <w:tcW w:w="5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7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1,165</w:t>
            </w:r>
          </w:p>
        </w:tc>
        <w:tc>
          <w:tcPr>
            <w:tcW w:w="0" w:type="dxa"/>
            <w:vAlign w:val="bottom"/>
          </w:tcPr>
          <w:p>
            <w:pPr>
              <w:spacing w:after="0"/>
              <w:rPr>
                <w:sz w:val="1"/>
                <w:szCs w:val="1"/>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Beginning</w:t>
            </w:r>
          </w:p>
        </w:tc>
        <w:tc>
          <w:tcPr>
            <w:tcW w:w="1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Ending</w:t>
            </w: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80" w:type="dxa"/>
            <w:vAlign w:val="bottom"/>
            <w:vMerge w:val="continue"/>
          </w:tcPr>
          <w:p>
            <w:pPr>
              <w:spacing w:after="0"/>
              <w:rPr>
                <w:sz w:val="17"/>
                <w:szCs w:val="17"/>
                <w:color w:val="auto"/>
              </w:rPr>
            </w:pPr>
          </w:p>
        </w:tc>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1,151</w:t>
            </w:r>
          </w:p>
        </w:tc>
        <w:tc>
          <w:tcPr>
            <w:tcW w:w="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2,278</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48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480" w:type="dxa"/>
            <w:vAlign w:val="bottom"/>
          </w:tcPr>
          <w:p>
            <w:pPr>
              <w:spacing w:after="0"/>
              <w:rPr>
                <w:sz w:val="20"/>
                <w:szCs w:val="20"/>
                <w:color w:val="auto"/>
              </w:rPr>
            </w:pPr>
            <w:r>
              <w:rPr>
                <w:rFonts w:ascii="Courier New" w:cs="Courier New" w:eastAsia="Courier New" w:hAnsi="Courier New"/>
                <w:sz w:val="18"/>
                <w:szCs w:val="18"/>
                <w:color w:val="auto"/>
              </w:rPr>
              <w:t>SUPPLEMENTAL SCHEDULE OF NONCASH INVESTING AND</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Issuance of common stock to satisfy long-term debt,</w:t>
            </w: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8"/>
              </w:rPr>
              <w:t>convertible notes, accrued interest payable and</w:t>
            </w:r>
          </w:p>
        </w:tc>
        <w:tc>
          <w:tcPr>
            <w:tcW w:w="126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5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$1,489,553</w:t>
            </w:r>
          </w:p>
        </w:tc>
        <w:tc>
          <w:tcPr>
            <w:tcW w:w="5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48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Issuance of common stock to satisfy accounts</w:t>
            </w:r>
          </w:p>
        </w:tc>
        <w:tc>
          <w:tcPr>
            <w:tcW w:w="160" w:type="dxa"/>
            <w:vAlign w:val="bottom"/>
            <w:vMerge w:val="restart"/>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296,298</w:t>
            </w:r>
          </w:p>
        </w:tc>
        <w:tc>
          <w:tcPr>
            <w:tcW w:w="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5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payable, Torrey Pines Research</w:t>
            </w:r>
          </w:p>
        </w:tc>
        <w:tc>
          <w:tcPr>
            <w:tcW w:w="1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48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w w:val="96"/>
              </w:rPr>
              <w:t>Issuance of Series B Preferred stock to satisfy</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loans payable and long-term debt,</w:t>
            </w:r>
          </w:p>
        </w:tc>
        <w:tc>
          <w:tcPr>
            <w:tcW w:w="160" w:type="dxa"/>
            <w:vAlign w:val="bottom"/>
            <w:vMerge w:val="restart"/>
          </w:tcPr>
          <w:p>
            <w:pPr>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289,440</w:t>
            </w:r>
          </w:p>
        </w:tc>
        <w:tc>
          <w:tcPr>
            <w:tcW w:w="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5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Torrey Pines Research</w:t>
            </w:r>
          </w:p>
        </w:tc>
        <w:tc>
          <w:tcPr>
            <w:tcW w:w="1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48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Financial Statements.</w:t>
      </w:r>
    </w:p>
    <w:p>
      <w:pPr>
        <w:sectPr>
          <w:pgSz w:w="11900" w:h="16838" w:orient="portrait"/>
          <w:cols w:equalWidth="0" w:num="1">
            <w:col w:w="10219"/>
          </w:cols>
          <w:pgMar w:left="240" w:top="285"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7</w:t>
      </w:r>
    </w:p>
    <w:p>
      <w:pPr>
        <w:spacing w:after="0" w:line="3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INTERACTIVE INC.</w:t>
      </w:r>
    </w:p>
    <w:p>
      <w:pPr>
        <w:spacing w:after="0" w:line="169"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NOTES TO FINANCIAL STATEMENTS</w:t>
      </w:r>
    </w:p>
    <w:p>
      <w:pPr>
        <w:spacing w:after="0" w:line="3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(Unaudited)</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1.</w:t>
      </w:r>
      <w:r>
        <w:rPr>
          <w:sz w:val="20"/>
          <w:szCs w:val="20"/>
          <w:color w:val="auto"/>
        </w:rPr>
        <w:tab/>
      </w:r>
      <w:r>
        <w:rPr>
          <w:rFonts w:ascii="Courier New" w:cs="Courier New" w:eastAsia="Courier New" w:hAnsi="Courier New"/>
          <w:sz w:val="16"/>
          <w:szCs w:val="16"/>
          <w:color w:val="auto"/>
        </w:rPr>
        <w:t>Interim Financial Statements</w:t>
      </w:r>
    </w:p>
    <w:p>
      <w:pPr>
        <w:spacing w:after="0" w:line="201"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The financial information presented has been prepared from the books and records without audit but, in the opinion of management, includes all adjustments, consisting of only normal recurring adjustments, necessary for a fair presentation of the financial information for the periods presented. The results of operations for the nine and three months ended June 30, 1999, are not necessarily indicative of the results expected for the entire year.</w:t>
      </w:r>
    </w:p>
    <w:p>
      <w:pPr>
        <w:spacing w:after="0" w:line="9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2.</w:t>
      </w:r>
      <w:r>
        <w:rPr>
          <w:sz w:val="20"/>
          <w:szCs w:val="20"/>
          <w:color w:val="auto"/>
        </w:rPr>
        <w:tab/>
      </w:r>
      <w:r>
        <w:rPr>
          <w:rFonts w:ascii="Courier New" w:cs="Courier New" w:eastAsia="Courier New" w:hAnsi="Courier New"/>
          <w:sz w:val="16"/>
          <w:szCs w:val="16"/>
          <w:color w:val="auto"/>
        </w:rPr>
        <w:t>Income Taxes</w:t>
      </w:r>
    </w:p>
    <w:p>
      <w:pPr>
        <w:spacing w:after="0" w:line="201" w:lineRule="exact"/>
        <w:rPr>
          <w:sz w:val="20"/>
          <w:szCs w:val="20"/>
          <w:color w:val="auto"/>
        </w:rPr>
      </w:pPr>
    </w:p>
    <w:p>
      <w:pPr>
        <w:ind w:right="1879"/>
        <w:spacing w:after="0" w:line="293" w:lineRule="auto"/>
        <w:rPr>
          <w:sz w:val="20"/>
          <w:szCs w:val="20"/>
          <w:color w:val="auto"/>
        </w:rPr>
      </w:pPr>
      <w:r>
        <w:rPr>
          <w:rFonts w:ascii="Courier New" w:cs="Courier New" w:eastAsia="Courier New" w:hAnsi="Courier New"/>
          <w:sz w:val="16"/>
          <w:szCs w:val="16"/>
          <w:color w:val="auto"/>
        </w:rPr>
        <w:t>At June 30, 1999, the Company had a net operating loss carryforward for tax purposes of approximately $8,784,300. For financial reporting purposes, the operating loss carryforward is approximately $9,855,000 which represents the amount of future tax deductions for which a tax benefit has not been recognized in the financial statements. No deferred asset has been recorded for the benefit of the net operating loss or any other temporary differences as the related valuation allowance would be equal to the net deferred tax asset.</w:t>
      </w:r>
    </w:p>
    <w:p>
      <w:pPr>
        <w:spacing w:after="0" w:line="7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3.</w:t>
      </w:r>
      <w:r>
        <w:rPr>
          <w:sz w:val="20"/>
          <w:szCs w:val="20"/>
          <w:color w:val="auto"/>
        </w:rPr>
        <w:tab/>
      </w:r>
      <w:r>
        <w:rPr>
          <w:rFonts w:ascii="Courier New" w:cs="Courier New" w:eastAsia="Courier New" w:hAnsi="Courier New"/>
          <w:sz w:val="16"/>
          <w:szCs w:val="16"/>
          <w:color w:val="auto"/>
        </w:rPr>
        <w:t>Loss Per Common and Common Equivalent Share</w:t>
      </w:r>
    </w:p>
    <w:p>
      <w:pPr>
        <w:spacing w:after="0" w:line="201" w:lineRule="exact"/>
        <w:rPr>
          <w:sz w:val="20"/>
          <w:szCs w:val="20"/>
          <w:color w:val="auto"/>
        </w:rPr>
      </w:pPr>
    </w:p>
    <w:p>
      <w:pPr>
        <w:jc w:val="both"/>
        <w:ind w:right="2319"/>
        <w:spacing w:after="0" w:line="278" w:lineRule="auto"/>
        <w:rPr>
          <w:sz w:val="20"/>
          <w:szCs w:val="20"/>
          <w:color w:val="auto"/>
        </w:rPr>
      </w:pPr>
      <w:r>
        <w:rPr>
          <w:rFonts w:ascii="Courier New" w:cs="Courier New" w:eastAsia="Courier New" w:hAnsi="Courier New"/>
          <w:sz w:val="16"/>
          <w:szCs w:val="16"/>
          <w:color w:val="auto"/>
        </w:rPr>
        <w:t>The loss per common and common equivalent share has been computed using the weighted average of the number of shares outstanding for the nine and three months ended June, 1999 and 1998. The weighted number of common and common equivalent shares outstanding for the nine and three months ended June 30,</w:t>
      </w:r>
    </w:p>
    <w:p>
      <w:pPr>
        <w:spacing w:after="0" w:line="3" w:lineRule="exact"/>
        <w:rPr>
          <w:sz w:val="20"/>
          <w:szCs w:val="20"/>
          <w:color w:val="auto"/>
        </w:rPr>
      </w:pPr>
    </w:p>
    <w:p>
      <w:pPr>
        <w:ind w:right="1879"/>
        <w:spacing w:after="0" w:line="295" w:lineRule="auto"/>
        <w:rPr>
          <w:sz w:val="20"/>
          <w:szCs w:val="20"/>
          <w:color w:val="auto"/>
        </w:rPr>
      </w:pPr>
      <w:r>
        <w:rPr>
          <w:rFonts w:ascii="Courier New" w:cs="Courier New" w:eastAsia="Courier New" w:hAnsi="Courier New"/>
          <w:sz w:val="16"/>
          <w:szCs w:val="16"/>
          <w:color w:val="auto"/>
        </w:rPr>
        <w:t>1999 and 1998 are 3,763,583, 3,193,123, 4,739,592 and 3,230,086, respectively. The loss per common and common equivalent share assuming full dilution is the same as the loss per common and common equivalent share since the convertible preferred stock, convertible notes and common stock options and warrants have not been included in the computation as their inclusion would be anti-dilutive.</w:t>
      </w:r>
    </w:p>
    <w:p>
      <w:pPr>
        <w:spacing w:after="0" w:line="7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4.</w:t>
      </w:r>
      <w:r>
        <w:rPr>
          <w:sz w:val="20"/>
          <w:szCs w:val="20"/>
          <w:color w:val="auto"/>
        </w:rPr>
        <w:tab/>
      </w:r>
      <w:r>
        <w:rPr>
          <w:rFonts w:ascii="Courier New" w:cs="Courier New" w:eastAsia="Courier New" w:hAnsi="Courier New"/>
          <w:sz w:val="16"/>
          <w:szCs w:val="16"/>
          <w:color w:val="auto"/>
        </w:rPr>
        <w:t>Stock Options and Warrants</w:t>
      </w:r>
    </w:p>
    <w:p>
      <w:pPr>
        <w:spacing w:after="0" w:line="201" w:lineRule="exact"/>
        <w:rPr>
          <w:sz w:val="20"/>
          <w:szCs w:val="20"/>
          <w:color w:val="auto"/>
        </w:rPr>
      </w:pPr>
    </w:p>
    <w:p>
      <w:pPr>
        <w:ind w:right="1879"/>
        <w:spacing w:after="0" w:line="243" w:lineRule="auto"/>
        <w:rPr>
          <w:sz w:val="20"/>
          <w:szCs w:val="20"/>
          <w:color w:val="auto"/>
        </w:rPr>
      </w:pPr>
      <w:r>
        <w:rPr>
          <w:rFonts w:ascii="Courier New" w:cs="Courier New" w:eastAsia="Courier New" w:hAnsi="Courier New"/>
          <w:sz w:val="18"/>
          <w:szCs w:val="18"/>
          <w:color w:val="auto"/>
        </w:rPr>
        <w:t>The Company has a plan to grant incentive stock options to employees and non-statutory stock options to other individuals who provide services to the Company. All options granted are at the discretion of the Board of Directors and vest with the option holder over a 36 or 48 month period of continuous service to the Company. The option price is to be established by the Board of Directors. The Company has 133,333 shares of common stock reserved for options as of June 30, 1999. The following details the stock options issued and outstanding as of June 30, 1999.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700" w:type="dxa"/>
            <w:vAlign w:val="bottom"/>
            <w:vMerge w:val="restart"/>
          </w:tcPr>
          <w:p>
            <w:pPr>
              <w:spacing w:after="0"/>
              <w:rPr>
                <w:sz w:val="20"/>
                <w:szCs w:val="20"/>
                <w:color w:val="auto"/>
              </w:rPr>
            </w:pPr>
            <w:r>
              <w:rPr>
                <w:rFonts w:ascii="Courier New" w:cs="Courier New" w:eastAsia="Courier New" w:hAnsi="Courier New"/>
                <w:sz w:val="18"/>
                <w:szCs w:val="18"/>
                <w:color w:val="auto"/>
              </w:rPr>
              <w:t>Expiration</w:t>
            </w:r>
          </w:p>
        </w:tc>
        <w:tc>
          <w:tcPr>
            <w:tcW w:w="2360" w:type="dxa"/>
            <w:vAlign w:val="bottom"/>
          </w:tcPr>
          <w:p>
            <w:pPr>
              <w:ind w:left="1420"/>
              <w:spacing w:after="0"/>
              <w:rPr>
                <w:sz w:val="20"/>
                <w:szCs w:val="20"/>
                <w:color w:val="auto"/>
              </w:rPr>
            </w:pPr>
            <w:r>
              <w:rPr>
                <w:rFonts w:ascii="Courier New" w:cs="Courier New" w:eastAsia="Courier New" w:hAnsi="Courier New"/>
                <w:sz w:val="18"/>
                <w:szCs w:val="18"/>
                <w:color w:val="auto"/>
              </w:rPr>
              <w:t>Options</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w w:val="95"/>
              </w:rPr>
              <w:t>Options</w:t>
            </w:r>
          </w:p>
        </w:tc>
        <w:tc>
          <w:tcPr>
            <w:tcW w:w="186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Option</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700" w:type="dxa"/>
            <w:vAlign w:val="bottom"/>
            <w:vMerge w:val="continue"/>
          </w:tcPr>
          <w:p>
            <w:pPr>
              <w:spacing w:after="0"/>
              <w:rPr>
                <w:sz w:val="14"/>
                <w:szCs w:val="14"/>
                <w:color w:val="auto"/>
              </w:rPr>
            </w:pPr>
          </w:p>
        </w:tc>
        <w:tc>
          <w:tcPr>
            <w:tcW w:w="2360" w:type="dxa"/>
            <w:vAlign w:val="bottom"/>
            <w:vMerge w:val="restart"/>
          </w:tcPr>
          <w:p>
            <w:pPr>
              <w:ind w:left="1420"/>
              <w:spacing w:after="0"/>
              <w:rPr>
                <w:sz w:val="20"/>
                <w:szCs w:val="20"/>
                <w:color w:val="auto"/>
              </w:rPr>
            </w:pPr>
            <w:r>
              <w:rPr>
                <w:rFonts w:ascii="Courier New" w:cs="Courier New" w:eastAsia="Courier New" w:hAnsi="Courier New"/>
                <w:sz w:val="18"/>
                <w:szCs w:val="18"/>
                <w:color w:val="auto"/>
              </w:rPr>
              <w:t>Issued</w:t>
            </w:r>
          </w:p>
        </w:tc>
        <w:tc>
          <w:tcPr>
            <w:tcW w:w="1640" w:type="dxa"/>
            <w:vAlign w:val="bottom"/>
            <w:gridSpan w:val="2"/>
            <w:vMerge w:val="restart"/>
          </w:tcPr>
          <w:p>
            <w:pPr>
              <w:ind w:left="100"/>
              <w:spacing w:after="0"/>
              <w:rPr>
                <w:sz w:val="20"/>
                <w:szCs w:val="20"/>
                <w:color w:val="auto"/>
              </w:rPr>
            </w:pPr>
            <w:r>
              <w:rPr>
                <w:rFonts w:ascii="Courier New" w:cs="Courier New" w:eastAsia="Courier New" w:hAnsi="Courier New"/>
                <w:sz w:val="18"/>
                <w:szCs w:val="18"/>
                <w:color w:val="auto"/>
              </w:rPr>
              <w:t>Exercisable</w:t>
            </w:r>
          </w:p>
        </w:tc>
        <w:tc>
          <w:tcPr>
            <w:tcW w:w="106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Price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00" w:type="dxa"/>
            <w:vAlign w:val="bottom"/>
            <w:vMerge w:val="restart"/>
          </w:tcPr>
          <w:p>
            <w:pPr>
              <w:spacing w:after="0"/>
              <w:rPr>
                <w:sz w:val="20"/>
                <w:szCs w:val="20"/>
                <w:color w:val="auto"/>
              </w:rPr>
            </w:pPr>
            <w:r>
              <w:rPr>
                <w:rFonts w:ascii="Courier New" w:cs="Courier New" w:eastAsia="Courier New" w:hAnsi="Courier New"/>
                <w:sz w:val="18"/>
                <w:szCs w:val="18"/>
                <w:color w:val="auto"/>
              </w:rPr>
              <w:t>Year Ended</w:t>
            </w:r>
          </w:p>
        </w:tc>
        <w:tc>
          <w:tcPr>
            <w:tcW w:w="2360" w:type="dxa"/>
            <w:vAlign w:val="bottom"/>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700" w:type="dxa"/>
            <w:vAlign w:val="bottom"/>
            <w:vMerge w:val="continue"/>
          </w:tcPr>
          <w:p>
            <w:pPr>
              <w:spacing w:after="0"/>
              <w:rPr>
                <w:sz w:val="9"/>
                <w:szCs w:val="9"/>
                <w:color w:val="auto"/>
              </w:rPr>
            </w:pPr>
          </w:p>
        </w:tc>
        <w:tc>
          <w:tcPr>
            <w:tcW w:w="2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9,334</w:t>
            </w:r>
          </w:p>
        </w:tc>
        <w:tc>
          <w:tcPr>
            <w:tcW w:w="1640" w:type="dxa"/>
            <w:vAlign w:val="bottom"/>
            <w:gridSpan w:val="2"/>
            <w:vMerge w:val="restart"/>
          </w:tcPr>
          <w:p>
            <w:pPr>
              <w:jc w:val="right"/>
              <w:ind w:right="492"/>
              <w:spacing w:after="0"/>
              <w:rPr>
                <w:sz w:val="20"/>
                <w:szCs w:val="20"/>
                <w:color w:val="auto"/>
              </w:rPr>
            </w:pPr>
            <w:r>
              <w:rPr>
                <w:rFonts w:ascii="Courier New" w:cs="Courier New" w:eastAsia="Courier New" w:hAnsi="Courier New"/>
                <w:sz w:val="18"/>
                <w:szCs w:val="18"/>
                <w:color w:val="auto"/>
              </w:rPr>
              <w:t>9,334</w:t>
            </w:r>
          </w:p>
        </w:tc>
        <w:tc>
          <w:tcPr>
            <w:tcW w:w="106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$.25</w:t>
            </w:r>
          </w:p>
        </w:tc>
        <w:tc>
          <w:tcPr>
            <w:tcW w:w="46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92"/>
              </w:rPr>
              <w:t>2001</w:t>
            </w: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Incentive</w:t>
            </w:r>
          </w:p>
        </w:tc>
        <w:tc>
          <w:tcPr>
            <w:tcW w:w="2360" w:type="dxa"/>
            <w:vAlign w:val="bottom"/>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Incentive</w:t>
            </w:r>
          </w:p>
        </w:tc>
        <w:tc>
          <w:tcPr>
            <w:tcW w:w="2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w:t>
            </w:r>
          </w:p>
        </w:tc>
        <w:tc>
          <w:tcPr>
            <w:tcW w:w="16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3,000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2004</w:t>
            </w:r>
          </w:p>
        </w:tc>
        <w:tc>
          <w:tcPr>
            <w:tcW w:w="2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4,500</w:t>
            </w:r>
          </w:p>
        </w:tc>
        <w:tc>
          <w:tcPr>
            <w:tcW w:w="1640" w:type="dxa"/>
            <w:vAlign w:val="bottom"/>
            <w:gridSpan w:val="2"/>
            <w:vMerge w:val="restart"/>
          </w:tcPr>
          <w:p>
            <w:pPr>
              <w:jc w:val="right"/>
              <w:ind w:right="492"/>
              <w:spacing w:after="0"/>
              <w:rPr>
                <w:sz w:val="20"/>
                <w:szCs w:val="20"/>
                <w:color w:val="auto"/>
              </w:rPr>
            </w:pPr>
            <w:r>
              <w:rPr>
                <w:rFonts w:ascii="Courier New" w:cs="Courier New" w:eastAsia="Courier New" w:hAnsi="Courier New"/>
                <w:sz w:val="18"/>
                <w:szCs w:val="18"/>
                <w:color w:val="auto"/>
              </w:rPr>
              <w:t>3,666</w:t>
            </w:r>
          </w:p>
        </w:tc>
        <w:tc>
          <w:tcPr>
            <w:tcW w:w="10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.32</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Incentive</w:t>
            </w:r>
          </w:p>
        </w:tc>
        <w:tc>
          <w:tcPr>
            <w:tcW w:w="2360" w:type="dxa"/>
            <w:vAlign w:val="bottom"/>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2005</w:t>
            </w:r>
          </w:p>
        </w:tc>
        <w:tc>
          <w:tcPr>
            <w:tcW w:w="3200" w:type="dxa"/>
            <w:vAlign w:val="bottom"/>
            <w:gridSpan w:val="2"/>
            <w:vMerge w:val="restart"/>
          </w:tcPr>
          <w:p>
            <w:pPr>
              <w:jc w:val="right"/>
              <w:ind w:right="332"/>
              <w:spacing w:after="0"/>
              <w:rPr>
                <w:sz w:val="20"/>
                <w:szCs w:val="20"/>
                <w:color w:val="auto"/>
              </w:rPr>
            </w:pPr>
            <w:r>
              <w:rPr>
                <w:rFonts w:ascii="Courier New" w:cs="Courier New" w:eastAsia="Courier New" w:hAnsi="Courier New"/>
                <w:sz w:val="18"/>
                <w:szCs w:val="18"/>
                <w:color w:val="auto"/>
              </w:rPr>
              <w:t>3,000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3,000</w:t>
            </w:r>
          </w:p>
        </w:tc>
        <w:tc>
          <w:tcPr>
            <w:tcW w:w="1060" w:type="dxa"/>
            <w:vAlign w:val="bottom"/>
          </w:tcPr>
          <w:p>
            <w:pPr>
              <w:spacing w:after="0"/>
              <w:rPr>
                <w:sz w:val="17"/>
                <w:szCs w:val="17"/>
                <w:color w:val="auto"/>
              </w:rPr>
            </w:pPr>
          </w:p>
        </w:tc>
        <w:tc>
          <w:tcPr>
            <w:tcW w:w="46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.25</w:t>
            </w:r>
          </w:p>
        </w:tc>
        <w:tc>
          <w:tcPr>
            <w:tcW w:w="0" w:type="dxa"/>
            <w:vAlign w:val="bottom"/>
          </w:tcPr>
          <w:p>
            <w:pPr>
              <w:spacing w:after="0"/>
              <w:rPr>
                <w:sz w:val="1"/>
                <w:szCs w:val="1"/>
                <w:color w:val="auto"/>
              </w:rPr>
            </w:pPr>
          </w:p>
        </w:tc>
      </w:tr>
      <w:tr>
        <w:trPr>
          <w:trHeight w:val="296"/>
        </w:trPr>
        <w:tc>
          <w:tcPr>
            <w:tcW w:w="2700" w:type="dxa"/>
            <w:vAlign w:val="bottom"/>
          </w:tcPr>
          <w:p>
            <w:pPr>
              <w:spacing w:after="0"/>
              <w:rPr>
                <w:sz w:val="20"/>
                <w:szCs w:val="20"/>
                <w:color w:val="auto"/>
              </w:rPr>
            </w:pPr>
            <w:r>
              <w:rPr>
                <w:rFonts w:ascii="Courier New" w:cs="Courier New" w:eastAsia="Courier New" w:hAnsi="Courier New"/>
                <w:sz w:val="18"/>
                <w:szCs w:val="18"/>
                <w:color w:val="auto"/>
              </w:rPr>
              <w:t>Non-statutory</w:t>
            </w:r>
          </w:p>
        </w:tc>
        <w:tc>
          <w:tcPr>
            <w:tcW w:w="3200" w:type="dxa"/>
            <w:vAlign w:val="bottom"/>
            <w:gridSpan w:val="2"/>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700" w:type="dxa"/>
            <w:vAlign w:val="bottom"/>
          </w:tcPr>
          <w:p>
            <w:pPr>
              <w:ind w:left="320"/>
              <w:spacing w:after="0"/>
              <w:rPr>
                <w:sz w:val="20"/>
                <w:szCs w:val="20"/>
                <w:color w:val="auto"/>
              </w:rPr>
            </w:pPr>
            <w:r>
              <w:rPr>
                <w:rFonts w:ascii="Courier New" w:cs="Courier New" w:eastAsia="Courier New" w:hAnsi="Courier New"/>
                <w:sz w:val="18"/>
                <w:szCs w:val="18"/>
                <w:color w:val="auto"/>
              </w:rPr>
              <w:t>2003</w:t>
            </w:r>
          </w:p>
        </w:tc>
        <w:tc>
          <w:tcPr>
            <w:tcW w:w="2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18,000</w:t>
            </w:r>
          </w:p>
        </w:tc>
        <w:tc>
          <w:tcPr>
            <w:tcW w:w="1640" w:type="dxa"/>
            <w:vAlign w:val="bottom"/>
            <w:gridSpan w:val="2"/>
            <w:vMerge w:val="restart"/>
          </w:tcPr>
          <w:p>
            <w:pPr>
              <w:jc w:val="right"/>
              <w:ind w:right="492"/>
              <w:spacing w:after="0"/>
              <w:rPr>
                <w:sz w:val="20"/>
                <w:szCs w:val="20"/>
                <w:color w:val="auto"/>
              </w:rPr>
            </w:pPr>
            <w:r>
              <w:rPr>
                <w:rFonts w:ascii="Courier New" w:cs="Courier New" w:eastAsia="Courier New" w:hAnsi="Courier New"/>
                <w:sz w:val="18"/>
                <w:szCs w:val="18"/>
                <w:color w:val="auto"/>
              </w:rPr>
              <w:t>18,000</w:t>
            </w:r>
          </w:p>
        </w:tc>
        <w:tc>
          <w:tcPr>
            <w:tcW w:w="10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.25</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Non-statutory</w:t>
            </w:r>
          </w:p>
        </w:tc>
        <w:tc>
          <w:tcPr>
            <w:tcW w:w="2360" w:type="dxa"/>
            <w:vAlign w:val="bottom"/>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2004</w:t>
            </w:r>
          </w:p>
        </w:tc>
        <w:tc>
          <w:tcPr>
            <w:tcW w:w="3200" w:type="dxa"/>
            <w:vAlign w:val="bottom"/>
            <w:gridSpan w:val="2"/>
            <w:vMerge w:val="restart"/>
          </w:tcPr>
          <w:p>
            <w:pPr>
              <w:jc w:val="right"/>
              <w:ind w:right="332"/>
              <w:spacing w:after="0"/>
              <w:rPr>
                <w:sz w:val="20"/>
                <w:szCs w:val="20"/>
                <w:color w:val="auto"/>
              </w:rPr>
            </w:pPr>
            <w:r>
              <w:rPr>
                <w:rFonts w:ascii="Courier New" w:cs="Courier New" w:eastAsia="Courier New" w:hAnsi="Courier New"/>
                <w:sz w:val="18"/>
                <w:szCs w:val="18"/>
                <w:color w:val="auto"/>
              </w:rPr>
              <w:t>36,000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36,000</w:t>
            </w:r>
          </w:p>
        </w:tc>
        <w:tc>
          <w:tcPr>
            <w:tcW w:w="1060" w:type="dxa"/>
            <w:vAlign w:val="bottom"/>
          </w:tcPr>
          <w:p>
            <w:pPr>
              <w:spacing w:after="0"/>
              <w:rPr>
                <w:sz w:val="17"/>
                <w:szCs w:val="17"/>
                <w:color w:val="auto"/>
              </w:rPr>
            </w:pPr>
          </w:p>
        </w:tc>
        <w:tc>
          <w:tcPr>
            <w:tcW w:w="46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.25</w:t>
            </w:r>
          </w:p>
        </w:tc>
        <w:tc>
          <w:tcPr>
            <w:tcW w:w="0" w:type="dxa"/>
            <w:vAlign w:val="bottom"/>
          </w:tcPr>
          <w:p>
            <w:pPr>
              <w:spacing w:after="0"/>
              <w:rPr>
                <w:sz w:val="1"/>
                <w:szCs w:val="1"/>
                <w:color w:val="auto"/>
              </w:rPr>
            </w:pPr>
          </w:p>
        </w:tc>
      </w:tr>
      <w:tr>
        <w:trPr>
          <w:trHeight w:val="296"/>
        </w:trPr>
        <w:tc>
          <w:tcPr>
            <w:tcW w:w="2700" w:type="dxa"/>
            <w:vAlign w:val="bottom"/>
          </w:tcPr>
          <w:p>
            <w:pPr>
              <w:spacing w:after="0"/>
              <w:rPr>
                <w:sz w:val="20"/>
                <w:szCs w:val="20"/>
                <w:color w:val="auto"/>
              </w:rPr>
            </w:pPr>
            <w:r>
              <w:rPr>
                <w:rFonts w:ascii="Courier New" w:cs="Courier New" w:eastAsia="Courier New" w:hAnsi="Courier New"/>
                <w:sz w:val="18"/>
                <w:szCs w:val="18"/>
                <w:color w:val="auto"/>
              </w:rPr>
              <w:t>Non-statutory</w:t>
            </w:r>
          </w:p>
        </w:tc>
        <w:tc>
          <w:tcPr>
            <w:tcW w:w="3200" w:type="dxa"/>
            <w:vAlign w:val="bottom"/>
            <w:gridSpan w:val="2"/>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700" w:type="dxa"/>
            <w:vAlign w:val="bottom"/>
          </w:tcPr>
          <w:p>
            <w:pPr>
              <w:ind w:left="320"/>
              <w:spacing w:after="0"/>
              <w:rPr>
                <w:sz w:val="20"/>
                <w:szCs w:val="20"/>
                <w:color w:val="auto"/>
              </w:rPr>
            </w:pPr>
            <w:r>
              <w:rPr>
                <w:rFonts w:ascii="Courier New" w:cs="Courier New" w:eastAsia="Courier New" w:hAnsi="Courier New"/>
                <w:sz w:val="18"/>
                <w:szCs w:val="18"/>
                <w:color w:val="auto"/>
              </w:rPr>
              <w:t>2005</w:t>
            </w:r>
          </w:p>
        </w:tc>
        <w:tc>
          <w:tcPr>
            <w:tcW w:w="3200" w:type="dxa"/>
            <w:vAlign w:val="bottom"/>
            <w:gridSpan w:val="2"/>
            <w:vMerge w:val="restart"/>
          </w:tcPr>
          <w:p>
            <w:pPr>
              <w:jc w:val="right"/>
              <w:ind w:right="432"/>
              <w:spacing w:after="0"/>
              <w:rPr>
                <w:sz w:val="20"/>
                <w:szCs w:val="20"/>
                <w:color w:val="auto"/>
              </w:rPr>
            </w:pPr>
            <w:r>
              <w:rPr>
                <w:rFonts w:ascii="Courier New" w:cs="Courier New" w:eastAsia="Courier New" w:hAnsi="Courier New"/>
                <w:sz w:val="18"/>
                <w:szCs w:val="18"/>
                <w:color w:val="auto"/>
              </w:rPr>
              <w:t>10,000</w:t>
            </w:r>
          </w:p>
        </w:tc>
        <w:tc>
          <w:tcPr>
            <w:tcW w:w="8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6"/>
              </w:rPr>
              <w:t>8,112</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.32</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Non-statutory</w:t>
            </w:r>
          </w:p>
        </w:tc>
        <w:tc>
          <w:tcPr>
            <w:tcW w:w="320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700" w:type="dxa"/>
            <w:vAlign w:val="bottom"/>
          </w:tcPr>
          <w:p>
            <w:pPr>
              <w:spacing w:after="0"/>
              <w:rPr>
                <w:sz w:val="20"/>
                <w:szCs w:val="20"/>
                <w:color w:val="auto"/>
              </w:rPr>
            </w:pPr>
            <w:r>
              <w:rPr>
                <w:rFonts w:ascii="Courier New" w:cs="Courier New" w:eastAsia="Courier New" w:hAnsi="Courier New"/>
                <w:sz w:val="18"/>
                <w:szCs w:val="18"/>
                <w:color w:val="auto"/>
              </w:rPr>
              <w:t>2006</w:t>
            </w:r>
          </w:p>
        </w:tc>
        <w:tc>
          <w:tcPr>
            <w:tcW w:w="23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5"/>
              </w:rPr>
              <w:t>------</w:t>
            </w: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70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2700" w:type="dxa"/>
            <w:vAlign w:val="bottom"/>
          </w:tcPr>
          <w:p>
            <w:pPr>
              <w:spacing w:after="0"/>
              <w:rPr>
                <w:sz w:val="24"/>
                <w:szCs w:val="24"/>
                <w:color w:val="auto"/>
              </w:rPr>
            </w:pPr>
          </w:p>
        </w:tc>
        <w:tc>
          <w:tcPr>
            <w:tcW w:w="2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83,334</w:t>
            </w:r>
          </w:p>
        </w:tc>
        <w:tc>
          <w:tcPr>
            <w:tcW w:w="1640" w:type="dxa"/>
            <w:vAlign w:val="bottom"/>
            <w:gridSpan w:val="2"/>
          </w:tcPr>
          <w:p>
            <w:pPr>
              <w:jc w:val="right"/>
              <w:ind w:right="592"/>
              <w:spacing w:after="0"/>
              <w:rPr>
                <w:sz w:val="20"/>
                <w:szCs w:val="20"/>
                <w:color w:val="auto"/>
              </w:rPr>
            </w:pPr>
            <w:r>
              <w:rPr>
                <w:rFonts w:ascii="Courier New" w:cs="Courier New" w:eastAsia="Courier New" w:hAnsi="Courier New"/>
                <w:sz w:val="18"/>
                <w:szCs w:val="18"/>
                <w:color w:val="auto"/>
              </w:rPr>
              <w:t>81,112</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7" w:name="page8"/>
    <w:bookmarkEnd w:id="7"/>
    <w:p>
      <w:pPr>
        <w:ind w:left="120"/>
        <w:spacing w:after="0"/>
        <w:rPr>
          <w:sz w:val="20"/>
          <w:szCs w:val="20"/>
          <w:color w:val="auto"/>
        </w:rPr>
      </w:pPr>
      <w:r>
        <w:rPr>
          <w:rFonts w:ascii="Courier New" w:cs="Courier New" w:eastAsia="Courier New" w:hAnsi="Courier New"/>
          <w:sz w:val="18"/>
          <w:szCs w:val="18"/>
          <w:color w:val="auto"/>
        </w:rPr>
        <w:t>8</w:t>
      </w:r>
    </w:p>
    <w:p>
      <w:pPr>
        <w:spacing w:after="0" w:line="31"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Company has issued common stock warrants to purchase shares of common stock at a set price. The following details the common stock warrants issued and outstanding as of June 30, 1999.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740" w:type="dxa"/>
            <w:vAlign w:val="bottom"/>
            <w:vMerge w:val="restart"/>
          </w:tcPr>
          <w:p>
            <w:pPr>
              <w:spacing w:after="0"/>
              <w:rPr>
                <w:sz w:val="20"/>
                <w:szCs w:val="20"/>
                <w:color w:val="auto"/>
              </w:rPr>
            </w:pPr>
            <w:r>
              <w:rPr>
                <w:rFonts w:ascii="Courier New" w:cs="Courier New" w:eastAsia="Courier New" w:hAnsi="Courier New"/>
                <w:sz w:val="18"/>
                <w:szCs w:val="18"/>
                <w:color w:val="auto"/>
              </w:rPr>
              <w:t>Expiration</w:t>
            </w:r>
          </w:p>
        </w:tc>
        <w:tc>
          <w:tcPr>
            <w:tcW w:w="1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Warrants</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Warrant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740" w:type="dxa"/>
            <w:vAlign w:val="bottom"/>
            <w:vMerge w:val="continue"/>
          </w:tcPr>
          <w:p>
            <w:pPr>
              <w:spacing w:after="0"/>
              <w:rPr>
                <w:sz w:val="14"/>
                <w:szCs w:val="14"/>
                <w:color w:val="auto"/>
              </w:rPr>
            </w:pPr>
          </w:p>
        </w:tc>
        <w:tc>
          <w:tcPr>
            <w:tcW w:w="19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Issued</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Price</w:t>
            </w:r>
          </w:p>
        </w:tc>
        <w:tc>
          <w:tcPr>
            <w:tcW w:w="16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Date</w:t>
            </w:r>
          </w:p>
        </w:tc>
        <w:tc>
          <w:tcPr>
            <w:tcW w:w="0" w:type="dxa"/>
            <w:vAlign w:val="bottom"/>
          </w:tcPr>
          <w:p>
            <w:pPr>
              <w:spacing w:after="0"/>
              <w:rPr>
                <w:sz w:val="1"/>
                <w:szCs w:val="1"/>
                <w:color w:val="auto"/>
              </w:rPr>
            </w:pPr>
          </w:p>
        </w:tc>
      </w:tr>
      <w:tr>
        <w:trPr>
          <w:trHeight w:val="109"/>
        </w:trPr>
        <w:tc>
          <w:tcPr>
            <w:tcW w:w="3740" w:type="dxa"/>
            <w:vAlign w:val="bottom"/>
          </w:tcPr>
          <w:p>
            <w:pPr>
              <w:spacing w:after="0"/>
              <w:rPr>
                <w:sz w:val="9"/>
                <w:szCs w:val="9"/>
                <w:color w:val="auto"/>
              </w:rPr>
            </w:pPr>
          </w:p>
        </w:tc>
        <w:tc>
          <w:tcPr>
            <w:tcW w:w="19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740" w:type="dxa"/>
            <w:vAlign w:val="bottom"/>
            <w:vMerge w:val="restart"/>
          </w:tcPr>
          <w:p>
            <w:pPr>
              <w:spacing w:after="0"/>
              <w:rPr>
                <w:sz w:val="20"/>
                <w:szCs w:val="20"/>
                <w:color w:val="auto"/>
              </w:rPr>
            </w:pPr>
            <w:r>
              <w:rPr>
                <w:rFonts w:ascii="Courier New" w:cs="Courier New" w:eastAsia="Courier New" w:hAnsi="Courier New"/>
                <w:sz w:val="18"/>
                <w:szCs w:val="18"/>
                <w:color w:val="auto"/>
              </w:rPr>
              <w:t>Warrants for refinancing note</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5"/>
              </w:rPr>
              <w:t>-------</w:t>
            </w:r>
          </w:p>
        </w:tc>
        <w:tc>
          <w:tcPr>
            <w:tcW w:w="16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740" w:type="dxa"/>
            <w:vAlign w:val="bottom"/>
            <w:vMerge w:val="continue"/>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w:t>
            </w:r>
          </w:p>
        </w:tc>
        <w:tc>
          <w:tcPr>
            <w:tcW w:w="1040" w:type="dxa"/>
            <w:vAlign w:val="bottom"/>
          </w:tcPr>
          <w:p>
            <w:pPr>
              <w:spacing w:after="0"/>
              <w:rPr>
                <w:sz w:val="17"/>
                <w:szCs w:val="17"/>
                <w:color w:val="auto"/>
              </w:rPr>
            </w:pPr>
          </w:p>
        </w:tc>
        <w:tc>
          <w:tcPr>
            <w:tcW w:w="1600" w:type="dxa"/>
            <w:vAlign w:val="bottom"/>
          </w:tcPr>
          <w:p>
            <w:pPr>
              <w:jc w:val="right"/>
              <w:ind w:right="1192"/>
              <w:spacing w:after="0" w:line="203" w:lineRule="exact"/>
              <w:rPr>
                <w:sz w:val="20"/>
                <w:szCs w:val="20"/>
                <w:color w:val="auto"/>
              </w:rPr>
            </w:pPr>
            <w:r>
              <w:rPr>
                <w:rFonts w:ascii="Courier New" w:cs="Courier New" w:eastAsia="Courier New" w:hAnsi="Courier New"/>
                <w:sz w:val="18"/>
                <w:szCs w:val="18"/>
                <w:color w:val="auto"/>
                <w:w w:val="92"/>
              </w:rPr>
              <w:t>.50</w:t>
            </w:r>
          </w:p>
        </w:tc>
        <w:tc>
          <w:tcPr>
            <w:tcW w:w="0" w:type="dxa"/>
            <w:vAlign w:val="bottom"/>
          </w:tcPr>
          <w:p>
            <w:pPr>
              <w:spacing w:after="0"/>
              <w:rPr>
                <w:sz w:val="1"/>
                <w:szCs w:val="1"/>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9-30</w:t>
            </w:r>
          </w:p>
        </w:tc>
        <w:tc>
          <w:tcPr>
            <w:tcW w:w="1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740" w:type="dxa"/>
            <w:vAlign w:val="bottom"/>
          </w:tcPr>
          <w:p>
            <w:pPr>
              <w:spacing w:after="0"/>
              <w:rPr>
                <w:sz w:val="20"/>
                <w:szCs w:val="20"/>
                <w:color w:val="auto"/>
              </w:rPr>
            </w:pPr>
            <w:r>
              <w:rPr>
                <w:rFonts w:ascii="Courier New" w:cs="Courier New" w:eastAsia="Courier New" w:hAnsi="Courier New"/>
                <w:sz w:val="18"/>
                <w:szCs w:val="18"/>
                <w:color w:val="auto"/>
              </w:rPr>
              <w:t>- -02</w:t>
            </w:r>
          </w:p>
        </w:tc>
        <w:tc>
          <w:tcPr>
            <w:tcW w:w="1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Note 5.  Bank Lines of Credit</w:t>
            </w:r>
          </w:p>
        </w:tc>
        <w:tc>
          <w:tcPr>
            <w:tcW w:w="1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1779"/>
        <w:spacing w:after="0" w:line="287" w:lineRule="auto"/>
        <w:rPr>
          <w:sz w:val="20"/>
          <w:szCs w:val="20"/>
          <w:color w:val="auto"/>
        </w:rPr>
      </w:pPr>
      <w:r>
        <w:rPr>
          <w:rFonts w:ascii="Courier New" w:cs="Courier New" w:eastAsia="Courier New" w:hAnsi="Courier New"/>
          <w:sz w:val="16"/>
          <w:szCs w:val="16"/>
          <w:color w:val="auto"/>
        </w:rPr>
        <w:t>The Company had a line-of-credit aggregating $213,500 from a bank. The line was at a variable interest rate of .75% over the banks commercial base rate (10.43% at March 31, 1998), with interest on the outstanding balance due monthly. The Company was unable to pay the principle or the monthly interest payments, but accrued the interest. The line was secured by substantially all of the assets of the Company. In May of 1998 the note was purchased from the bank by Robert Stahl, a related party. The note was subsequently purchased from Mr. Stahl by TPR Group, a related party. The note was retired when the Company successfully closed its "Offer to Creditors." See Part II Other information Item 5.</w:t>
      </w:r>
    </w:p>
    <w:p>
      <w:pPr>
        <w:spacing w:after="0" w:line="75" w:lineRule="exact"/>
        <w:rPr>
          <w:sz w:val="20"/>
          <w:szCs w:val="20"/>
          <w:color w:val="auto"/>
        </w:rPr>
      </w:pPr>
    </w:p>
    <w:p>
      <w:pPr>
        <w:ind w:left="960" w:right="2619" w:hanging="1474"/>
        <w:spacing w:after="0" w:line="347" w:lineRule="auto"/>
        <w:tabs>
          <w:tab w:leader="none" w:pos="940" w:val="left"/>
        </w:tabs>
        <w:rPr>
          <w:sz w:val="20"/>
          <w:szCs w:val="20"/>
          <w:color w:val="auto"/>
        </w:rPr>
      </w:pPr>
      <w:r>
        <w:rPr>
          <w:rFonts w:ascii="Courier New" w:cs="Courier New" w:eastAsia="Courier New" w:hAnsi="Courier New"/>
          <w:sz w:val="18"/>
          <w:szCs w:val="18"/>
          <w:color w:val="auto"/>
        </w:rPr>
        <w:t>Item 2.</w:t>
        <w:tab/>
        <w:t>Management's Discussion and Analysis of Financial Condition and Results of Operations.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Although the Company successfully closed it's "Offer to Creditors" (see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w:t>
      </w:r>
    </w:p>
    <w:p>
      <w:pPr>
        <w:ind w:right="1779"/>
        <w:spacing w:after="0" w:line="242" w:lineRule="auto"/>
        <w:rPr>
          <w:sz w:val="20"/>
          <w:szCs w:val="20"/>
          <w:color w:val="auto"/>
        </w:rPr>
      </w:pPr>
      <w:r>
        <w:rPr>
          <w:rFonts w:ascii="Courier New" w:cs="Courier New" w:eastAsia="Courier New" w:hAnsi="Courier New"/>
          <w:sz w:val="18"/>
          <w:szCs w:val="18"/>
          <w:color w:val="auto"/>
        </w:rPr>
        <w:t>5.), the Company is delinquent on its interest payments on its secured note, one of its subordinated long term notes and a portion of its trade accounts payable. The Company has several judgments against it and several more threatened as a result of its inability to pay its obligations to its unsecured trade creditors. The judgments are all from unsecured creditors which the Company is no longer using for ongoing operations and the Company does not intend to pay these unsecured debts until its obligations to its secured creditors are satisfied. The company currently feels that the best possibility it has available to repay its secured and unsecured creditors and to return value to its stockholders is to continue to operate the Company and to work out payment plans if it is able to do so in the future. While the Company does not expect that it will be forced into bankruptcy by its secured or unsecured creditors, there can be no assurance that this will not happen because of the Company's inability to meet its obligations to its remaining creditors. The Company believes that a liquidation of its assets would only satisfy a small portion of the Company's obligations to its secured creditors and provide nothing for the Company's unsecured creditors or its stockholders.</w:t>
      </w:r>
    </w:p>
    <w:p>
      <w:pPr>
        <w:spacing w:after="0" w:line="119" w:lineRule="exact"/>
        <w:rPr>
          <w:sz w:val="20"/>
          <w:szCs w:val="20"/>
          <w:color w:val="auto"/>
        </w:rPr>
      </w:pPr>
    </w:p>
    <w:p>
      <w:pPr>
        <w:ind w:right="2319" w:firstLine="421"/>
        <w:spacing w:after="0" w:line="257" w:lineRule="auto"/>
        <w:rPr>
          <w:sz w:val="20"/>
          <w:szCs w:val="20"/>
          <w:color w:val="auto"/>
        </w:rPr>
      </w:pPr>
      <w:r>
        <w:rPr>
          <w:rFonts w:ascii="Courier New" w:cs="Courier New" w:eastAsia="Courier New" w:hAnsi="Courier New"/>
          <w:sz w:val="18"/>
          <w:szCs w:val="18"/>
          <w:color w:val="auto"/>
        </w:rPr>
        <w:t>The Company's inventory of SoundXchange hardware, which, as of June 30, 1999,</w:t>
      </w:r>
    </w:p>
    <w:p>
      <w:pPr>
        <w:ind w:right="1779"/>
        <w:spacing w:after="0" w:line="256" w:lineRule="auto"/>
        <w:rPr>
          <w:sz w:val="20"/>
          <w:szCs w:val="20"/>
          <w:color w:val="auto"/>
        </w:rPr>
      </w:pPr>
      <w:r>
        <w:rPr>
          <w:rFonts w:ascii="Courier New" w:cs="Courier New" w:eastAsia="Courier New" w:hAnsi="Courier New"/>
          <w:sz w:val="18"/>
          <w:szCs w:val="18"/>
          <w:color w:val="auto"/>
        </w:rPr>
        <w:t>accounted for approximately 78.3% of the Company's current assets, is liquid only to the extent of the Company's sales of such product. The Company has made minor engineering changes in the product in order to be able to utilize the inventory for newly developing markets and the Company hopes to continue to be able to do so in the future.</w:t>
      </w:r>
    </w:p>
    <w:p>
      <w:pPr>
        <w:spacing w:after="0" w:line="96" w:lineRule="exact"/>
        <w:rPr>
          <w:sz w:val="20"/>
          <w:szCs w:val="20"/>
          <w:color w:val="auto"/>
        </w:rPr>
      </w:pPr>
    </w:p>
    <w:p>
      <w:pPr>
        <w:ind w:right="1779" w:firstLine="421"/>
        <w:spacing w:after="0" w:line="306" w:lineRule="auto"/>
        <w:rPr>
          <w:sz w:val="20"/>
          <w:szCs w:val="20"/>
          <w:color w:val="auto"/>
        </w:rPr>
      </w:pPr>
      <w:r>
        <w:rPr>
          <w:rFonts w:ascii="Courier New" w:cs="Courier New" w:eastAsia="Courier New" w:hAnsi="Courier New"/>
          <w:sz w:val="16"/>
          <w:szCs w:val="16"/>
          <w:color w:val="auto"/>
        </w:rPr>
        <w:t>The Company was also unable to pay its auditors in order to have audited financial statements for the years ended September 30, 1994, 1995, 1996, 1997 and 1998. The absence of audited financial statements may jeopardize the ability of the Company to continue as a reporting company and may jeopardize the ability for the Company's stock to continue to trade on the OTC Bulletin Board.</w:t>
      </w:r>
    </w:p>
    <w:p>
      <w:pPr>
        <w:sectPr>
          <w:pgSz w:w="11900" w:h="16838" w:orient="portrait"/>
          <w:cols w:equalWidth="0" w:num="1">
            <w:col w:w="10219"/>
          </w:cols>
          <w:pgMar w:left="240" w:top="28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169" w:lineRule="exact"/>
        <w:rPr>
          <w:sz w:val="20"/>
          <w:szCs w:val="20"/>
          <w:color w:val="auto"/>
        </w:rPr>
      </w:pPr>
    </w:p>
    <w:p>
      <w:pPr>
        <w:ind w:right="1779" w:firstLine="421"/>
        <w:spacing w:after="0" w:line="265" w:lineRule="auto"/>
        <w:rPr>
          <w:sz w:val="20"/>
          <w:szCs w:val="20"/>
          <w:color w:val="auto"/>
        </w:rPr>
      </w:pPr>
      <w:r>
        <w:rPr>
          <w:rFonts w:ascii="Courier New" w:cs="Courier New" w:eastAsia="Courier New" w:hAnsi="Courier New"/>
          <w:sz w:val="18"/>
          <w:szCs w:val="18"/>
          <w:color w:val="auto"/>
        </w:rPr>
        <w:t>Revenue. Net sales for the nine months ended June 30, 1999 and 1998 were $26,100 and $49,500, respectively. The Company's decrease in sales is attributable mainly to less emphasis on marketing during the period. Management's main objective was to implement debt to equity conversions with the Company's creditors.</w:t>
      </w:r>
    </w:p>
    <w:p>
      <w:pPr>
        <w:spacing w:after="0" w:line="90" w:lineRule="exact"/>
        <w:rPr>
          <w:sz w:val="20"/>
          <w:szCs w:val="20"/>
          <w:color w:val="auto"/>
        </w:rPr>
      </w:pPr>
    </w:p>
    <w:p>
      <w:pPr>
        <w:ind w:right="1879" w:firstLine="421"/>
        <w:spacing w:after="0" w:line="265" w:lineRule="auto"/>
        <w:rPr>
          <w:sz w:val="20"/>
          <w:szCs w:val="20"/>
          <w:color w:val="auto"/>
        </w:rPr>
      </w:pPr>
      <w:r>
        <w:rPr>
          <w:rFonts w:ascii="Courier New" w:cs="Courier New" w:eastAsia="Courier New" w:hAnsi="Courier New"/>
          <w:sz w:val="18"/>
          <w:szCs w:val="18"/>
          <w:color w:val="auto"/>
        </w:rPr>
        <w:t>Gross Profit. The gross margin for the nine months ended June 30, 1999 was approximately 29%, down from a gross margin of 45% for the nine months ended June 30, 1997. The decrease from the previous year is due primarily to a greater percentage of sales of the SoundXchange Models T and VC with their relatively lower profit margin.</w:t>
      </w:r>
    </w:p>
    <w:p>
      <w:pPr>
        <w:spacing w:after="0" w:line="90" w:lineRule="exact"/>
        <w:rPr>
          <w:sz w:val="20"/>
          <w:szCs w:val="20"/>
          <w:color w:val="auto"/>
        </w:rPr>
      </w:pPr>
    </w:p>
    <w:p>
      <w:pPr>
        <w:ind w:right="2199" w:firstLine="421"/>
        <w:spacing w:after="0" w:line="402" w:lineRule="auto"/>
        <w:rPr>
          <w:sz w:val="20"/>
          <w:szCs w:val="20"/>
          <w:color w:val="auto"/>
        </w:rPr>
      </w:pPr>
      <w:r>
        <w:rPr>
          <w:rFonts w:ascii="Courier New" w:cs="Courier New" w:eastAsia="Courier New" w:hAnsi="Courier New"/>
          <w:sz w:val="16"/>
          <w:szCs w:val="16"/>
          <w:color w:val="auto"/>
        </w:rPr>
        <w:t>Sales and marketing expenses. Sales and marketing expenses for the nine months ended June 30, 1999 and 1998 were $29,000 and $25,000, respectively.</w:t>
      </w:r>
    </w:p>
    <w:p>
      <w:pPr>
        <w:spacing w:after="0" w:line="1" w:lineRule="exact"/>
        <w:rPr>
          <w:sz w:val="20"/>
          <w:szCs w:val="20"/>
          <w:color w:val="auto"/>
        </w:rPr>
      </w:pPr>
    </w:p>
    <w:p>
      <w:pPr>
        <w:ind w:left="420"/>
        <w:spacing w:after="0"/>
        <w:tabs>
          <w:tab w:leader="none" w:pos="3260" w:val="left"/>
        </w:tabs>
        <w:rPr>
          <w:sz w:val="20"/>
          <w:szCs w:val="20"/>
          <w:color w:val="auto"/>
        </w:rPr>
      </w:pPr>
      <w:r>
        <w:rPr>
          <w:rFonts w:ascii="Courier New" w:cs="Courier New" w:eastAsia="Courier New" w:hAnsi="Courier New"/>
          <w:sz w:val="18"/>
          <w:szCs w:val="18"/>
          <w:color w:val="auto"/>
        </w:rPr>
        <w:t>Research and development.</w:t>
      </w:r>
      <w:r>
        <w:rPr>
          <w:sz w:val="20"/>
          <w:szCs w:val="20"/>
          <w:color w:val="auto"/>
        </w:rPr>
        <w:tab/>
      </w:r>
      <w:r>
        <w:rPr>
          <w:rFonts w:ascii="Courier New" w:cs="Courier New" w:eastAsia="Courier New" w:hAnsi="Courier New"/>
          <w:sz w:val="16"/>
          <w:szCs w:val="16"/>
          <w:color w:val="auto"/>
        </w:rPr>
        <w:t>There were no research and development expenses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t>
      </w:r>
    </w:p>
    <w:p>
      <w:pPr>
        <w:ind w:right="1999"/>
        <w:spacing w:after="0" w:line="268" w:lineRule="auto"/>
        <w:rPr>
          <w:sz w:val="20"/>
          <w:szCs w:val="20"/>
          <w:color w:val="auto"/>
        </w:rPr>
      </w:pPr>
      <w:r>
        <w:rPr>
          <w:rFonts w:ascii="Courier New" w:cs="Courier New" w:eastAsia="Courier New" w:hAnsi="Courier New"/>
          <w:sz w:val="16"/>
          <w:szCs w:val="16"/>
          <w:color w:val="auto"/>
        </w:rPr>
        <w:t>the nine months ended June 30, 1999. The Company does not have any employees currently engaged in research, product development and engineering, but the Company currently has access, through a temporary consulting arrangement with Torrey Pines Research (TPR), the Company's former key research and development employees who are now employees of TPR. Although TPR is a stockholder</w:t>
      </w:r>
    </w:p>
    <w:p>
      <w:pPr>
        <w:spacing w:after="0" w:line="1" w:lineRule="exact"/>
        <w:rPr>
          <w:sz w:val="20"/>
          <w:szCs w:val="20"/>
          <w:color w:val="auto"/>
        </w:rPr>
      </w:pPr>
    </w:p>
    <w:p>
      <w:pPr>
        <w:ind w:right="2199"/>
        <w:spacing w:after="0" w:line="262" w:lineRule="auto"/>
        <w:rPr>
          <w:sz w:val="20"/>
          <w:szCs w:val="20"/>
          <w:color w:val="auto"/>
        </w:rPr>
      </w:pPr>
      <w:r>
        <w:rPr>
          <w:rFonts w:ascii="Courier New" w:cs="Courier New" w:eastAsia="Courier New" w:hAnsi="Courier New"/>
          <w:sz w:val="18"/>
          <w:szCs w:val="18"/>
          <w:color w:val="auto"/>
        </w:rPr>
        <w:t>of InterActive, and TPR has performed as a strategic partner in past development efforts of InterActive, there can be no assurance that TPR will continue to provide InterActive consulting services because of InterActive's current inability to pay for these consulting services.</w:t>
      </w:r>
    </w:p>
    <w:p>
      <w:pPr>
        <w:spacing w:after="0" w:line="90" w:lineRule="exact"/>
        <w:rPr>
          <w:sz w:val="20"/>
          <w:szCs w:val="20"/>
          <w:color w:val="auto"/>
        </w:rPr>
      </w:pPr>
    </w:p>
    <w:p>
      <w:pPr>
        <w:ind w:left="420"/>
        <w:spacing w:after="0"/>
        <w:tabs>
          <w:tab w:leader="none" w:pos="3460" w:val="left"/>
        </w:tabs>
        <w:rPr>
          <w:sz w:val="20"/>
          <w:szCs w:val="20"/>
          <w:color w:val="auto"/>
        </w:rPr>
      </w:pPr>
      <w:r>
        <w:rPr>
          <w:rFonts w:ascii="Courier New" w:cs="Courier New" w:eastAsia="Courier New" w:hAnsi="Courier New"/>
          <w:sz w:val="18"/>
          <w:szCs w:val="18"/>
          <w:color w:val="auto"/>
        </w:rPr>
        <w:t>General and administrative.</w:t>
      </w:r>
      <w:r>
        <w:rPr>
          <w:sz w:val="20"/>
          <w:szCs w:val="20"/>
          <w:color w:val="auto"/>
        </w:rPr>
        <w:tab/>
      </w:r>
      <w:r>
        <w:rPr>
          <w:rFonts w:ascii="Courier New" w:cs="Courier New" w:eastAsia="Courier New" w:hAnsi="Courier New"/>
          <w:sz w:val="16"/>
          <w:szCs w:val="16"/>
          <w:color w:val="auto"/>
        </w:rPr>
        <w:t>General and administrative expenses for the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nine</w:t>
      </w:r>
    </w:p>
    <w:p>
      <w:pPr>
        <w:ind w:right="2099"/>
        <w:spacing w:after="0" w:line="273" w:lineRule="auto"/>
        <w:rPr>
          <w:sz w:val="20"/>
          <w:szCs w:val="20"/>
          <w:color w:val="auto"/>
        </w:rPr>
      </w:pPr>
      <w:r>
        <w:rPr>
          <w:rFonts w:ascii="Courier New" w:cs="Courier New" w:eastAsia="Courier New" w:hAnsi="Courier New"/>
          <w:sz w:val="18"/>
          <w:szCs w:val="18"/>
          <w:color w:val="auto"/>
        </w:rPr>
        <w:t>months ended June 30, 1999 and 1998 were $22,800 and $9,500, respectively. The increase is primarily due to the additional costs to consummate the Offer to Creditors (See Item 5.)</w:t>
      </w:r>
    </w:p>
    <w:p>
      <w:pPr>
        <w:spacing w:after="0" w:line="82" w:lineRule="exact"/>
        <w:rPr>
          <w:sz w:val="20"/>
          <w:szCs w:val="20"/>
          <w:color w:val="auto"/>
        </w:rPr>
      </w:pPr>
    </w:p>
    <w:p>
      <w:pPr>
        <w:ind w:left="420"/>
        <w:spacing w:after="0"/>
        <w:tabs>
          <w:tab w:leader="none" w:pos="3780" w:val="left"/>
        </w:tabs>
        <w:rPr>
          <w:sz w:val="20"/>
          <w:szCs w:val="20"/>
          <w:color w:val="auto"/>
        </w:rPr>
      </w:pPr>
      <w:r>
        <w:rPr>
          <w:rFonts w:ascii="Courier New" w:cs="Courier New" w:eastAsia="Courier New" w:hAnsi="Courier New"/>
          <w:sz w:val="18"/>
          <w:szCs w:val="18"/>
          <w:color w:val="auto"/>
        </w:rPr>
        <w:t>Depreciation and Amortization.</w:t>
      </w:r>
      <w:r>
        <w:rPr>
          <w:sz w:val="20"/>
          <w:szCs w:val="20"/>
          <w:color w:val="auto"/>
        </w:rPr>
        <w:tab/>
      </w:r>
      <w:r>
        <w:rPr>
          <w:rFonts w:ascii="Courier New" w:cs="Courier New" w:eastAsia="Courier New" w:hAnsi="Courier New"/>
          <w:sz w:val="16"/>
          <w:szCs w:val="16"/>
          <w:color w:val="auto"/>
        </w:rPr>
        <w:t>Depreciation and amortization expenses for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w:t>
      </w:r>
    </w:p>
    <w:p>
      <w:pPr>
        <w:ind w:right="1879"/>
        <w:spacing w:after="0" w:line="273" w:lineRule="auto"/>
        <w:rPr>
          <w:sz w:val="20"/>
          <w:szCs w:val="20"/>
          <w:color w:val="auto"/>
        </w:rPr>
      </w:pPr>
      <w:r>
        <w:rPr>
          <w:rFonts w:ascii="Courier New" w:cs="Courier New" w:eastAsia="Courier New" w:hAnsi="Courier New"/>
          <w:sz w:val="18"/>
          <w:szCs w:val="18"/>
          <w:color w:val="auto"/>
        </w:rPr>
        <w:t>nine months ended June 30, 1999 and 1998 were $5,000 and $13,700, respectively. The decrease in depreciation and amortization expense was due primarily to the majority of depreciable items being depreciated out.</w:t>
      </w:r>
    </w:p>
    <w:p>
      <w:pPr>
        <w:spacing w:after="0" w:line="82" w:lineRule="exact"/>
        <w:rPr>
          <w:sz w:val="20"/>
          <w:szCs w:val="20"/>
          <w:color w:val="auto"/>
        </w:rPr>
      </w:pPr>
    </w:p>
    <w:p>
      <w:pPr>
        <w:ind w:right="1999" w:firstLine="421"/>
        <w:spacing w:after="0" w:line="274" w:lineRule="auto"/>
        <w:rPr>
          <w:sz w:val="20"/>
          <w:szCs w:val="20"/>
          <w:color w:val="auto"/>
        </w:rPr>
      </w:pPr>
      <w:r>
        <w:rPr>
          <w:rFonts w:ascii="Courier New" w:cs="Courier New" w:eastAsia="Courier New" w:hAnsi="Courier New"/>
          <w:sz w:val="18"/>
          <w:szCs w:val="18"/>
          <w:color w:val="auto"/>
        </w:rPr>
        <w:t>Nonoperating Income (Expense). Nonoperating income (expense) for the nine months ended June 30, 1999 and 1998 were ($335,900) and ($4,700) respectively. The increase in nonoperating expense was a result of accrual of interest to a related party.</w:t>
      </w:r>
    </w:p>
    <w:p>
      <w:pPr>
        <w:spacing w:after="0" w:line="82" w:lineRule="exact"/>
        <w:rPr>
          <w:sz w:val="20"/>
          <w:szCs w:val="20"/>
          <w:color w:val="auto"/>
        </w:rPr>
      </w:pPr>
    </w:p>
    <w:p>
      <w:pPr>
        <w:ind w:left="420"/>
        <w:spacing w:after="0"/>
        <w:tabs>
          <w:tab w:leader="none" w:pos="1560" w:val="left"/>
        </w:tabs>
        <w:rPr>
          <w:sz w:val="20"/>
          <w:szCs w:val="20"/>
          <w:color w:val="auto"/>
        </w:rPr>
      </w:pPr>
      <w:r>
        <w:rPr>
          <w:rFonts w:ascii="Courier New" w:cs="Courier New" w:eastAsia="Courier New" w:hAnsi="Courier New"/>
          <w:sz w:val="18"/>
          <w:szCs w:val="18"/>
          <w:color w:val="auto"/>
        </w:rPr>
        <w:t>Net Loss.</w:t>
      </w:r>
      <w:r>
        <w:rPr>
          <w:sz w:val="20"/>
          <w:szCs w:val="20"/>
          <w:color w:val="auto"/>
        </w:rPr>
        <w:tab/>
      </w:r>
      <w:r>
        <w:rPr>
          <w:rFonts w:ascii="Courier New" w:cs="Courier New" w:eastAsia="Courier New" w:hAnsi="Courier New"/>
          <w:sz w:val="16"/>
          <w:szCs w:val="16"/>
          <w:color w:val="auto"/>
        </w:rPr>
        <w:t>The Company suffered a net loss for the nine months ended June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w:t>
      </w:r>
    </w:p>
    <w:p>
      <w:pPr>
        <w:ind w:right="2099"/>
        <w:spacing w:after="0" w:line="256" w:lineRule="auto"/>
        <w:rPr>
          <w:sz w:val="20"/>
          <w:szCs w:val="20"/>
          <w:color w:val="auto"/>
        </w:rPr>
      </w:pPr>
      <w:r>
        <w:rPr>
          <w:rFonts w:ascii="Courier New" w:cs="Courier New" w:eastAsia="Courier New" w:hAnsi="Courier New"/>
          <w:sz w:val="18"/>
          <w:szCs w:val="18"/>
          <w:color w:val="auto"/>
        </w:rPr>
        <w:t>1999 of $390,100 or $0.08 per share on 3,763,583 weighted average shares outstanding compared to a net loss for the nine months ended June 30, 1998 of $26,600 or $0.01 per share on 3,193,123 weighted average shares outstanding. The increase in net loss was primarily a result of accrual of interest to a related party.</w:t>
      </w:r>
    </w:p>
    <w:p>
      <w:pPr>
        <w:spacing w:after="0" w:line="96" w:lineRule="exact"/>
        <w:rPr>
          <w:sz w:val="20"/>
          <w:szCs w:val="20"/>
          <w:color w:val="auto"/>
        </w:rPr>
      </w:pPr>
    </w:p>
    <w:p>
      <w:pPr>
        <w:ind w:right="2519" w:firstLine="421"/>
        <w:spacing w:after="0" w:line="257" w:lineRule="auto"/>
        <w:rPr>
          <w:sz w:val="20"/>
          <w:szCs w:val="20"/>
          <w:color w:val="auto"/>
        </w:rPr>
      </w:pPr>
      <w:r>
        <w:rPr>
          <w:rFonts w:ascii="Courier New" w:cs="Courier New" w:eastAsia="Courier New" w:hAnsi="Courier New"/>
          <w:sz w:val="18"/>
          <w:szCs w:val="18"/>
          <w:color w:val="auto"/>
        </w:rPr>
        <w:t>Management believes that the largest challenges that the Company will continue</w:t>
      </w:r>
    </w:p>
    <w:p>
      <w:pPr>
        <w:ind w:right="1999"/>
        <w:spacing w:after="0" w:line="256" w:lineRule="auto"/>
        <w:rPr>
          <w:sz w:val="20"/>
          <w:szCs w:val="20"/>
          <w:color w:val="auto"/>
        </w:rPr>
      </w:pPr>
      <w:r>
        <w:rPr>
          <w:rFonts w:ascii="Courier New" w:cs="Courier New" w:eastAsia="Courier New" w:hAnsi="Courier New"/>
          <w:sz w:val="18"/>
          <w:szCs w:val="18"/>
          <w:color w:val="auto"/>
        </w:rPr>
        <w:t>to confront during 1999 are to obtain adequate financing and to develop a plan to achieve profitability. While the Company is optimistic about the possibility of its overcoming these challenges and achieving its goals, there can be no assurance that it will be able to achieve any or all of its objectives.</w:t>
      </w:r>
    </w:p>
    <w:p>
      <w:pPr>
        <w:sectPr>
          <w:pgSz w:w="11900" w:h="16838" w:orient="portrait"/>
          <w:cols w:equalWidth="0" w:num="1">
            <w:col w:w="10219"/>
          </w:cols>
          <w:pgMar w:left="240" w:top="285" w:right="1440" w:bottom="1440" w:gutter="0" w:footer="0" w:header="0"/>
        </w:sectPr>
      </w:pPr>
    </w:p>
    <w:bookmarkStart w:id="9" w:name="page10"/>
    <w:bookmarkEnd w:id="9"/>
    <w:p>
      <w:pPr>
        <w:ind w:left="120"/>
        <w:spacing w:after="0"/>
        <w:rPr>
          <w:sz w:val="20"/>
          <w:szCs w:val="20"/>
          <w:color w:val="auto"/>
        </w:rPr>
      </w:pPr>
      <w:r>
        <w:rPr>
          <w:rFonts w:ascii="Courier New" w:cs="Courier New" w:eastAsia="Courier New" w:hAnsi="Courier New"/>
          <w:sz w:val="18"/>
          <w:szCs w:val="18"/>
          <w:color w:val="auto"/>
        </w:rPr>
        <w:t>10</w:t>
      </w:r>
    </w:p>
    <w:p>
      <w:pPr>
        <w:spacing w:after="0" w:line="3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The Company has several judgments against it and several more threatened as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ind w:right="2319"/>
        <w:spacing w:after="0" w:line="256" w:lineRule="auto"/>
        <w:rPr>
          <w:sz w:val="20"/>
          <w:szCs w:val="20"/>
          <w:color w:val="auto"/>
        </w:rPr>
      </w:pPr>
      <w:r>
        <w:rPr>
          <w:rFonts w:ascii="Courier New" w:cs="Courier New" w:eastAsia="Courier New" w:hAnsi="Courier New"/>
          <w:sz w:val="18"/>
          <w:szCs w:val="18"/>
          <w:color w:val="auto"/>
        </w:rPr>
        <w:t>result of its inability to pay its obligations to its remaining unsecured trade creditors. The judgments are all from unsecured creditors which the Company is no longer using for on going operations and the Company does not intend to pay these unsecured debts until its obligations to its secured creditors are satisfied.</w:t>
      </w:r>
    </w:p>
    <w:p>
      <w:pPr>
        <w:spacing w:after="0" w:line="96" w:lineRule="exact"/>
        <w:rPr>
          <w:sz w:val="20"/>
          <w:szCs w:val="20"/>
          <w:color w:val="auto"/>
        </w:rPr>
      </w:pPr>
    </w:p>
    <w:p>
      <w:pPr>
        <w:ind w:right="1779" w:firstLine="421"/>
        <w:spacing w:after="0" w:line="250" w:lineRule="auto"/>
        <w:rPr>
          <w:sz w:val="20"/>
          <w:szCs w:val="20"/>
          <w:color w:val="auto"/>
        </w:rPr>
      </w:pPr>
      <w:r>
        <w:rPr>
          <w:rFonts w:ascii="Courier New" w:cs="Courier New" w:eastAsia="Courier New" w:hAnsi="Courier New"/>
          <w:sz w:val="18"/>
          <w:szCs w:val="18"/>
          <w:color w:val="auto"/>
        </w:rPr>
        <w:t>The Company currently feels that the best possibility it has available to repay its secured and unsecured creditors and to return value to its stockholders is to continue to operate the Company and to work out payment plans if it is able to do so in the future. While the Company does not expect that it will be forced into bankruptcy by its secured or unsecured creditors, there can be no assurance that this will not happen because of the Company's inability to meet its obligations to its creditors. The Company believes that a liquidation of its assets would only satisfy a small portion of the Company's obligations to its secured creditors and provide nothing for the Company's unsecured creditors or its stockholders.</w:t>
      </w:r>
    </w:p>
    <w:p>
      <w:pPr>
        <w:spacing w:after="0" w:line="3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None</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Defaults Upon Senior Securities.</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None</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None</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Information</w:t>
      </w:r>
    </w:p>
    <w:p>
      <w:pPr>
        <w:spacing w:after="0" w:line="31" w:lineRule="exact"/>
        <w:rPr>
          <w:sz w:val="20"/>
          <w:szCs w:val="20"/>
          <w:color w:val="auto"/>
        </w:rPr>
      </w:pPr>
    </w:p>
    <w:p>
      <w:pPr>
        <w:ind w:right="1779" w:firstLine="421"/>
        <w:spacing w:after="0" w:line="274" w:lineRule="auto"/>
        <w:rPr>
          <w:sz w:val="20"/>
          <w:szCs w:val="20"/>
          <w:color w:val="auto"/>
        </w:rPr>
      </w:pPr>
      <w:r>
        <w:rPr>
          <w:rFonts w:ascii="Courier New" w:cs="Courier New" w:eastAsia="Courier New" w:hAnsi="Courier New"/>
          <w:sz w:val="16"/>
          <w:szCs w:val="16"/>
          <w:color w:val="auto"/>
        </w:rPr>
        <w:t>Effective June 18, 1999 the Company successfully closed the "Offer to Creditors" (the "Offer") which was made to creditors of the Company in December, 1998. The holders of approximately $1,599,000 of the Company's previously outstanding debt agreed to accept shares of the Company's common stock in exchange therefor. TPR Group, Inc., (together with its affiliated entities, "TPR"), a related party received 296,298 shares of the Company's Common Stock in exchange for $296,298 of unsecured debt. Additionally, TPR acquired 2,000,000 shares of a new series of the Company's authorized but unissued Series B Preferred Stock which is initially convertible to Common Stock on a 10 to one basis and has contributed $289,440 in principal and accrued interest secured by a lien on the Company's assets to the capital of the Company. As a consequence of these transactions, the Company's outstanding indebtedness has been reduced from approximately $2,916,000 at December 8, 1998, to approximately $958,283 at June 18, 1999, and an aggregate of 25,076,508 shares of common stock (including 20,000,000 issuable to TPR upon conversion of the Series B Preferred Stock) are outstanding. TPR has also agreed to exchange an additional $721,000 of the Company's secured debt for shares of Series C Preferred Stock at a later date, subject to certain conditions. Consummation of this debt-to-equity conversion was publicly announced by a Press Release dated June 18, 1999 a copy of which is attached. See Exhibit A.</w:t>
      </w:r>
    </w:p>
    <w:p>
      <w:pPr>
        <w:sectPr>
          <w:pgSz w:w="11900" w:h="16838" w:orient="portrait"/>
          <w:cols w:equalWidth="0" w:num="1">
            <w:col w:w="10219"/>
          </w:cols>
          <w:pgMar w:left="240" w:top="285" w:right="1440" w:bottom="1440" w:gutter="0" w:footer="0" w:header="0"/>
        </w:sectPr>
      </w:pPr>
    </w:p>
    <w:bookmarkStart w:id="10" w:name="page11"/>
    <w:bookmarkEnd w:id="10"/>
    <w:p>
      <w:pPr>
        <w:ind w:left="1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160" w:hanging="520"/>
        <w:spacing w:after="0"/>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Exhibit A Press Release dated June 18, 1999</w:t>
      </w:r>
    </w:p>
    <w:p>
      <w:pPr>
        <w:spacing w:after="0" w:line="169" w:lineRule="exact"/>
        <w:rPr>
          <w:sz w:val="20"/>
          <w:szCs w:val="20"/>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9"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During the quarter the Registrant filed a Form 8-K dated June 18, 1999</w:t>
      </w:r>
    </w:p>
    <w:p>
      <w:pPr>
        <w:spacing w:after="0" w:line="238" w:lineRule="auto"/>
        <w:rPr>
          <w:sz w:val="20"/>
          <w:szCs w:val="20"/>
          <w:color w:val="auto"/>
        </w:rPr>
      </w:pPr>
      <w:r>
        <w:rPr>
          <w:rFonts w:ascii="Courier New" w:cs="Courier New" w:eastAsia="Courier New" w:hAnsi="Courier New"/>
          <w:sz w:val="18"/>
          <w:szCs w:val="18"/>
          <w:color w:val="auto"/>
        </w:rPr>
        <w:t>to</w:t>
      </w:r>
    </w:p>
    <w:p>
      <w:pPr>
        <w:ind w:left="740" w:right="1999"/>
        <w:spacing w:after="0" w:line="273" w:lineRule="auto"/>
        <w:rPr>
          <w:sz w:val="20"/>
          <w:szCs w:val="20"/>
          <w:color w:val="auto"/>
        </w:rPr>
      </w:pPr>
      <w:r>
        <w:rPr>
          <w:rFonts w:ascii="Courier New" w:cs="Courier New" w:eastAsia="Courier New" w:hAnsi="Courier New"/>
          <w:sz w:val="18"/>
          <w:szCs w:val="18"/>
          <w:color w:val="auto"/>
        </w:rPr>
        <w:t>report a successful conclusion of an "Offer to Creditors" in which a majority of holders of the Company's previously outstanding debt agreed to accept shares of the Company's stock in exchange therefor.</w:t>
      </w:r>
    </w:p>
    <w:p>
      <w:pPr>
        <w:sectPr>
          <w:pgSz w:w="11900" w:h="16838" w:orient="portrait"/>
          <w:cols w:equalWidth="0" w:num="1">
            <w:col w:w="10219"/>
          </w:cols>
          <w:pgMar w:left="240" w:top="285"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12</w:t>
      </w:r>
    </w:p>
    <w:p>
      <w:pPr>
        <w:spacing w:after="0" w:line="3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SIGNATURES</w:t>
      </w:r>
    </w:p>
    <w:p>
      <w:pPr>
        <w:spacing w:after="0" w:line="169" w:lineRule="exact"/>
        <w:rPr>
          <w:sz w:val="20"/>
          <w:szCs w:val="20"/>
          <w:color w:val="auto"/>
        </w:rPr>
      </w:pPr>
    </w:p>
    <w:p>
      <w:pPr>
        <w:ind w:right="2319" w:firstLine="421"/>
        <w:spacing w:after="0" w:line="257" w:lineRule="auto"/>
        <w:rPr>
          <w:sz w:val="20"/>
          <w:szCs w:val="20"/>
          <w:color w:val="auto"/>
        </w:rPr>
      </w:pPr>
      <w:r>
        <w:rPr>
          <w:rFonts w:ascii="Courier New" w:cs="Courier New" w:eastAsia="Courier New" w:hAnsi="Courier New"/>
          <w:sz w:val="18"/>
          <w:szCs w:val="18"/>
          <w:color w:val="auto"/>
        </w:rPr>
        <w:t>In accordance with the requirements of the Exchange Act, the registrant caused</w:t>
      </w:r>
    </w:p>
    <w:p>
      <w:pPr>
        <w:ind w:right="2519"/>
        <w:spacing w:after="0" w:line="309" w:lineRule="auto"/>
        <w:rPr>
          <w:sz w:val="20"/>
          <w:szCs w:val="20"/>
          <w:color w:val="auto"/>
        </w:rPr>
      </w:pPr>
      <w:r>
        <w:rPr>
          <w:rFonts w:ascii="Courier New" w:cs="Courier New" w:eastAsia="Courier New" w:hAnsi="Courier New"/>
          <w:sz w:val="18"/>
          <w:szCs w:val="18"/>
          <w:color w:val="auto"/>
        </w:rPr>
        <w:t>this report to be signed on its behalf by the undersigned, thereunto duly authorized.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220" w:type="dxa"/>
            <w:vAlign w:val="bottom"/>
          </w:tcPr>
          <w:p>
            <w:pPr>
              <w:ind w:left="420"/>
              <w:spacing w:after="0"/>
              <w:rPr>
                <w:sz w:val="20"/>
                <w:szCs w:val="20"/>
                <w:color w:val="auto"/>
              </w:rPr>
            </w:pPr>
            <w:r>
              <w:rPr>
                <w:rFonts w:ascii="Courier New" w:cs="Courier New" w:eastAsia="Courier New" w:hAnsi="Courier New"/>
                <w:sz w:val="18"/>
                <w:szCs w:val="18"/>
                <w:color w:val="auto"/>
              </w:rPr>
              <w:t>Dated:  August 13, 1999</w:t>
            </w:r>
          </w:p>
        </w:tc>
        <w:tc>
          <w:tcPr>
            <w:tcW w:w="4220" w:type="dxa"/>
            <w:vAlign w:val="bottom"/>
          </w:tcPr>
          <w:p>
            <w:pPr>
              <w:jc w:val="right"/>
              <w:spacing w:after="0"/>
              <w:rPr>
                <w:sz w:val="20"/>
                <w:szCs w:val="20"/>
                <w:color w:val="auto"/>
              </w:rPr>
            </w:pPr>
            <w:r>
              <w:rPr>
                <w:rFonts w:ascii="Courier New" w:cs="Courier New" w:eastAsia="Courier New" w:hAnsi="Courier New"/>
                <w:sz w:val="18"/>
                <w:szCs w:val="18"/>
                <w:color w:val="auto"/>
              </w:rPr>
              <w:t>INTERACTIVE INC.</w:t>
            </w:r>
          </w:p>
        </w:tc>
        <w:tc>
          <w:tcPr>
            <w:tcW w:w="0" w:type="dxa"/>
            <w:vAlign w:val="bottom"/>
          </w:tcPr>
          <w:p>
            <w:pPr>
              <w:spacing w:after="0"/>
              <w:rPr>
                <w:sz w:val="1"/>
                <w:szCs w:val="1"/>
                <w:color w:val="auto"/>
              </w:rPr>
            </w:pPr>
          </w:p>
        </w:tc>
      </w:tr>
      <w:tr>
        <w:trPr>
          <w:trHeight w:val="608"/>
        </w:trPr>
        <w:tc>
          <w:tcPr>
            <w:tcW w:w="4220" w:type="dxa"/>
            <w:vAlign w:val="bottom"/>
            <w:vMerge w:val="restart"/>
          </w:tcPr>
          <w:p>
            <w:pPr>
              <w:spacing w:after="0"/>
              <w:rPr>
                <w:sz w:val="20"/>
                <w:szCs w:val="20"/>
                <w:color w:val="auto"/>
              </w:rPr>
            </w:pPr>
            <w:r>
              <w:rPr>
                <w:rFonts w:ascii="Courier New" w:cs="Courier New" w:eastAsia="Courier New" w:hAnsi="Courier New"/>
                <w:sz w:val="18"/>
                <w:szCs w:val="18"/>
                <w:color w:val="auto"/>
              </w:rPr>
              <w:t>ert Stahl</w:t>
            </w:r>
          </w:p>
        </w:tc>
        <w:tc>
          <w:tcPr>
            <w:tcW w:w="4220" w:type="dxa"/>
            <w:vAlign w:val="bottom"/>
          </w:tcPr>
          <w:p>
            <w:pPr>
              <w:jc w:val="right"/>
              <w:spacing w:after="0"/>
              <w:rPr>
                <w:sz w:val="20"/>
                <w:szCs w:val="20"/>
                <w:color w:val="auto"/>
              </w:rPr>
            </w:pPr>
            <w:r>
              <w:rPr>
                <w:rFonts w:ascii="Courier New" w:cs="Courier New" w:eastAsia="Courier New" w:hAnsi="Courier New"/>
                <w:sz w:val="18"/>
                <w:szCs w:val="18"/>
                <w:color w:val="auto"/>
              </w:rPr>
              <w:t>/s/Rob</w:t>
            </w:r>
          </w:p>
        </w:tc>
        <w:tc>
          <w:tcPr>
            <w:tcW w:w="0" w:type="dxa"/>
            <w:vAlign w:val="bottom"/>
          </w:tcPr>
          <w:p>
            <w:pPr>
              <w:spacing w:after="0"/>
              <w:rPr>
                <w:sz w:val="1"/>
                <w:szCs w:val="1"/>
                <w:color w:val="auto"/>
              </w:rPr>
            </w:pPr>
          </w:p>
        </w:tc>
      </w:tr>
      <w:tr>
        <w:trPr>
          <w:trHeight w:val="203"/>
        </w:trPr>
        <w:tc>
          <w:tcPr>
            <w:tcW w:w="4220" w:type="dxa"/>
            <w:vAlign w:val="bottom"/>
            <w:vMerge w:val="continue"/>
          </w:tcPr>
          <w:p>
            <w:pPr>
              <w:spacing w:after="0"/>
              <w:rPr>
                <w:sz w:val="17"/>
                <w:szCs w:val="17"/>
                <w:color w:val="auto"/>
              </w:rPr>
            </w:pPr>
          </w:p>
        </w:tc>
        <w:tc>
          <w:tcPr>
            <w:tcW w:w="422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220" w:type="dxa"/>
            <w:vAlign w:val="bottom"/>
          </w:tcPr>
          <w:p>
            <w:pPr>
              <w:spacing w:after="0"/>
              <w:rPr>
                <w:sz w:val="9"/>
                <w:szCs w:val="9"/>
                <w:color w:val="auto"/>
              </w:rPr>
            </w:pPr>
          </w:p>
        </w:tc>
        <w:tc>
          <w:tcPr>
            <w:tcW w:w="4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422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Stahl</w:t>
            </w:r>
          </w:p>
        </w:tc>
        <w:tc>
          <w:tcPr>
            <w:tcW w:w="4220" w:type="dxa"/>
            <w:vAlign w:val="bottom"/>
          </w:tcPr>
          <w:p>
            <w:pPr>
              <w:jc w:val="right"/>
              <w:spacing w:after="0"/>
              <w:rPr>
                <w:sz w:val="20"/>
                <w:szCs w:val="20"/>
                <w:color w:val="auto"/>
              </w:rPr>
            </w:pPr>
            <w:r>
              <w:rPr>
                <w:rFonts w:ascii="Courier New" w:cs="Courier New" w:eastAsia="Courier New" w:hAnsi="Courier New"/>
                <w:sz w:val="18"/>
                <w:szCs w:val="18"/>
                <w:color w:val="auto"/>
              </w:rPr>
              <w:t>Robert</w:t>
            </w:r>
          </w:p>
        </w:tc>
        <w:tc>
          <w:tcPr>
            <w:tcW w:w="0" w:type="dxa"/>
            <w:vAlign w:val="bottom"/>
          </w:tcPr>
          <w:p>
            <w:pPr>
              <w:spacing w:after="0"/>
              <w:rPr>
                <w:sz w:val="1"/>
                <w:szCs w:val="1"/>
                <w:color w:val="auto"/>
              </w:rPr>
            </w:pPr>
          </w:p>
        </w:tc>
      </w:tr>
      <w:tr>
        <w:trPr>
          <w:trHeight w:val="203"/>
        </w:trPr>
        <w:tc>
          <w:tcPr>
            <w:tcW w:w="4220" w:type="dxa"/>
            <w:vAlign w:val="bottom"/>
            <w:vMerge w:val="continue"/>
          </w:tcPr>
          <w:p>
            <w:pPr>
              <w:spacing w:after="0"/>
              <w:rPr>
                <w:sz w:val="17"/>
                <w:szCs w:val="17"/>
                <w:color w:val="auto"/>
              </w:rPr>
            </w:pPr>
          </w:p>
        </w:tc>
        <w:tc>
          <w:tcPr>
            <w:tcW w:w="4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Presid</w:t>
            </w:r>
          </w:p>
        </w:tc>
        <w:tc>
          <w:tcPr>
            <w:tcW w:w="0" w:type="dxa"/>
            <w:vAlign w:val="bottom"/>
          </w:tcPr>
          <w:p>
            <w:pPr>
              <w:spacing w:after="0"/>
              <w:rPr>
                <w:sz w:val="1"/>
                <w:szCs w:val="1"/>
                <w:color w:val="auto"/>
              </w:rPr>
            </w:pPr>
          </w:p>
        </w:tc>
      </w:tr>
      <w:tr>
        <w:trPr>
          <w:trHeight w:val="203"/>
        </w:trPr>
        <w:tc>
          <w:tcPr>
            <w:tcW w:w="4220" w:type="dxa"/>
            <w:vAlign w:val="bottom"/>
            <w:vMerge w:val="restart"/>
          </w:tcPr>
          <w:p>
            <w:pPr>
              <w:spacing w:after="0"/>
              <w:rPr>
                <w:sz w:val="20"/>
                <w:szCs w:val="20"/>
                <w:color w:val="auto"/>
              </w:rPr>
            </w:pPr>
            <w:r>
              <w:rPr>
                <w:rFonts w:ascii="Courier New" w:cs="Courier New" w:eastAsia="Courier New" w:hAnsi="Courier New"/>
                <w:sz w:val="18"/>
                <w:szCs w:val="18"/>
                <w:color w:val="auto"/>
              </w:rPr>
              <w:t>ent</w:t>
            </w:r>
          </w:p>
        </w:tc>
        <w:tc>
          <w:tcPr>
            <w:tcW w:w="4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vMerge w:val="continue"/>
          </w:tcPr>
          <w:p>
            <w:pPr>
              <w:spacing w:after="0"/>
              <w:rPr>
                <w:sz w:val="17"/>
                <w:szCs w:val="17"/>
                <w:color w:val="auto"/>
              </w:rPr>
            </w:pPr>
          </w:p>
        </w:tc>
        <w:tc>
          <w:tcPr>
            <w:tcW w:w="4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4220" w:type="dxa"/>
            <w:vAlign w:val="bottom"/>
            <w:vMerge w:val="restart"/>
          </w:tcPr>
          <w:p>
            <w:pPr>
              <w:spacing w:after="0"/>
              <w:rPr>
                <w:sz w:val="20"/>
                <w:szCs w:val="20"/>
                <w:color w:val="auto"/>
              </w:rPr>
            </w:pPr>
            <w:r>
              <w:rPr>
                <w:rFonts w:ascii="Courier New" w:cs="Courier New" w:eastAsia="Courier New" w:hAnsi="Courier New"/>
                <w:sz w:val="18"/>
                <w:szCs w:val="18"/>
                <w:color w:val="auto"/>
              </w:rPr>
              <w:t>ard L. Kappenman</w:t>
            </w:r>
          </w:p>
        </w:tc>
        <w:tc>
          <w:tcPr>
            <w:tcW w:w="4220" w:type="dxa"/>
            <w:vAlign w:val="bottom"/>
          </w:tcPr>
          <w:p>
            <w:pPr>
              <w:jc w:val="right"/>
              <w:spacing w:after="0"/>
              <w:rPr>
                <w:sz w:val="20"/>
                <w:szCs w:val="20"/>
                <w:color w:val="auto"/>
              </w:rPr>
            </w:pPr>
            <w:r>
              <w:rPr>
                <w:rFonts w:ascii="Courier New" w:cs="Courier New" w:eastAsia="Courier New" w:hAnsi="Courier New"/>
                <w:sz w:val="18"/>
                <w:szCs w:val="18"/>
                <w:color w:val="auto"/>
              </w:rPr>
              <w:t>/s/Ger</w:t>
            </w:r>
          </w:p>
        </w:tc>
        <w:tc>
          <w:tcPr>
            <w:tcW w:w="0" w:type="dxa"/>
            <w:vAlign w:val="bottom"/>
          </w:tcPr>
          <w:p>
            <w:pPr>
              <w:spacing w:after="0"/>
              <w:rPr>
                <w:sz w:val="1"/>
                <w:szCs w:val="1"/>
                <w:color w:val="auto"/>
              </w:rPr>
            </w:pPr>
          </w:p>
        </w:tc>
      </w:tr>
      <w:tr>
        <w:trPr>
          <w:trHeight w:val="203"/>
        </w:trPr>
        <w:tc>
          <w:tcPr>
            <w:tcW w:w="4220" w:type="dxa"/>
            <w:vAlign w:val="bottom"/>
            <w:vMerge w:val="continue"/>
          </w:tcPr>
          <w:p>
            <w:pPr>
              <w:spacing w:after="0"/>
              <w:rPr>
                <w:sz w:val="17"/>
                <w:szCs w:val="17"/>
                <w:color w:val="auto"/>
              </w:rPr>
            </w:pPr>
          </w:p>
        </w:tc>
        <w:tc>
          <w:tcPr>
            <w:tcW w:w="422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4220" w:type="dxa"/>
            <w:vAlign w:val="bottom"/>
          </w:tcPr>
          <w:p>
            <w:pPr>
              <w:spacing w:after="0"/>
              <w:rPr>
                <w:sz w:val="9"/>
                <w:szCs w:val="9"/>
                <w:color w:val="auto"/>
              </w:rPr>
            </w:pPr>
          </w:p>
        </w:tc>
        <w:tc>
          <w:tcPr>
            <w:tcW w:w="4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422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L. Kappenman</w:t>
            </w:r>
          </w:p>
        </w:tc>
        <w:tc>
          <w:tcPr>
            <w:tcW w:w="4220" w:type="dxa"/>
            <w:vAlign w:val="bottom"/>
          </w:tcPr>
          <w:p>
            <w:pPr>
              <w:jc w:val="right"/>
              <w:spacing w:after="0"/>
              <w:rPr>
                <w:sz w:val="20"/>
                <w:szCs w:val="20"/>
                <w:color w:val="auto"/>
              </w:rPr>
            </w:pPr>
            <w:r>
              <w:rPr>
                <w:rFonts w:ascii="Courier New" w:cs="Courier New" w:eastAsia="Courier New" w:hAnsi="Courier New"/>
                <w:sz w:val="18"/>
                <w:szCs w:val="18"/>
                <w:color w:val="auto"/>
              </w:rPr>
              <w:t>Gerard</w:t>
            </w:r>
          </w:p>
        </w:tc>
        <w:tc>
          <w:tcPr>
            <w:tcW w:w="0" w:type="dxa"/>
            <w:vAlign w:val="bottom"/>
          </w:tcPr>
          <w:p>
            <w:pPr>
              <w:spacing w:after="0"/>
              <w:rPr>
                <w:sz w:val="1"/>
                <w:szCs w:val="1"/>
                <w:color w:val="auto"/>
              </w:rPr>
            </w:pPr>
          </w:p>
        </w:tc>
      </w:tr>
      <w:tr>
        <w:trPr>
          <w:trHeight w:val="203"/>
        </w:trPr>
        <w:tc>
          <w:tcPr>
            <w:tcW w:w="4220" w:type="dxa"/>
            <w:vAlign w:val="bottom"/>
            <w:vMerge w:val="continue"/>
          </w:tcPr>
          <w:p>
            <w:pPr>
              <w:spacing w:after="0"/>
              <w:rPr>
                <w:sz w:val="17"/>
                <w:szCs w:val="17"/>
                <w:color w:val="auto"/>
              </w:rPr>
            </w:pPr>
          </w:p>
        </w:tc>
        <w:tc>
          <w:tcPr>
            <w:tcW w:w="4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Secret</w:t>
            </w:r>
          </w:p>
        </w:tc>
        <w:tc>
          <w:tcPr>
            <w:tcW w:w="0" w:type="dxa"/>
            <w:vAlign w:val="bottom"/>
          </w:tcPr>
          <w:p>
            <w:pPr>
              <w:spacing w:after="0"/>
              <w:rPr>
                <w:sz w:val="1"/>
                <w:szCs w:val="1"/>
                <w:color w:val="auto"/>
              </w:rPr>
            </w:pPr>
          </w:p>
        </w:tc>
      </w:tr>
      <w:tr>
        <w:trPr>
          <w:trHeight w:val="203"/>
        </w:trPr>
        <w:tc>
          <w:tcPr>
            <w:tcW w:w="4220" w:type="dxa"/>
            <w:vAlign w:val="bottom"/>
            <w:vMerge w:val="restart"/>
          </w:tcPr>
          <w:p>
            <w:pPr>
              <w:spacing w:after="0"/>
              <w:rPr>
                <w:sz w:val="20"/>
                <w:szCs w:val="20"/>
                <w:color w:val="auto"/>
              </w:rPr>
            </w:pPr>
            <w:r>
              <w:rPr>
                <w:rFonts w:ascii="Courier New" w:cs="Courier New" w:eastAsia="Courier New" w:hAnsi="Courier New"/>
                <w:sz w:val="18"/>
                <w:szCs w:val="18"/>
                <w:color w:val="auto"/>
              </w:rPr>
              <w:t>ary</w:t>
            </w:r>
          </w:p>
        </w:tc>
        <w:tc>
          <w:tcPr>
            <w:tcW w:w="4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vMerge w:val="continue"/>
          </w:tcPr>
          <w:p>
            <w:pPr>
              <w:spacing w:after="0"/>
              <w:rPr>
                <w:sz w:val="17"/>
                <w:szCs w:val="17"/>
                <w:color w:val="auto"/>
              </w:rPr>
            </w:pPr>
          </w:p>
        </w:tc>
        <w:tc>
          <w:tcPr>
            <w:tcW w:w="4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12" w:name="page13"/>
    <w:bookmarkEnd w:id="12"/>
    <w:p>
      <w:pPr>
        <w:ind w:left="120"/>
        <w:spacing w:after="0"/>
        <w:rPr>
          <w:sz w:val="20"/>
          <w:szCs w:val="20"/>
          <w:color w:val="auto"/>
        </w:rPr>
      </w:pPr>
      <w:r>
        <w:rPr>
          <w:rFonts w:ascii="Courier New" w:cs="Courier New" w:eastAsia="Courier New" w:hAnsi="Courier New"/>
          <w:sz w:val="18"/>
          <w:szCs w:val="18"/>
          <w:color w:val="auto"/>
        </w:rPr>
        <w:t>13</w:t>
      </w:r>
    </w:p>
    <w:p>
      <w:pPr>
        <w:spacing w:after="0" w:line="3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A</w:t>
      </w:r>
    </w:p>
    <w:p>
      <w:pPr>
        <w:spacing w:after="0" w:line="16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NEWS RELEASE</w:t>
      </w:r>
    </w:p>
    <w:p>
      <w:pPr>
        <w:sectPr>
          <w:pgSz w:w="11900" w:h="16838" w:orient="portrait"/>
          <w:cols w:equalWidth="0" w:num="1">
            <w:col w:w="10219"/>
          </w:cols>
          <w:pgMar w:left="240" w:top="285"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IMMEDIATE RELEASE</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Stahl</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w:t>
      </w:r>
    </w:p>
    <w:p>
      <w:pPr>
        <w:spacing w:after="0" w:line="426" w:lineRule="exact"/>
        <w:rPr>
          <w:sz w:val="20"/>
          <w:szCs w:val="20"/>
          <w:color w:val="auto"/>
        </w:rPr>
      </w:pPr>
    </w:p>
    <w:p>
      <w:pPr>
        <w:sectPr>
          <w:pgSz w:w="11900" w:h="16838" w:orient="portrait"/>
          <w:cols w:equalWidth="0" w:num="2">
            <w:col w:w="6020" w:space="720"/>
            <w:col w:w="3479"/>
          </w:cols>
          <w:pgMar w:left="240" w:top="285" w:right="1440" w:bottom="1440" w:gutter="0" w:footer="0" w:header="0"/>
          <w:type w:val="continuous"/>
        </w:sectPr>
      </w:pPr>
    </w:p>
    <w:p>
      <w:pPr>
        <w:jc w:val="center"/>
        <w:ind w:right="8939"/>
        <w:spacing w:after="0"/>
        <w:rPr>
          <w:sz w:val="20"/>
          <w:szCs w:val="20"/>
          <w:color w:val="auto"/>
        </w:rPr>
      </w:pPr>
      <w:r>
        <w:rPr>
          <w:rFonts w:ascii="Courier New" w:cs="Courier New" w:eastAsia="Courier New" w:hAnsi="Courier New"/>
          <w:sz w:val="18"/>
          <w:szCs w:val="18"/>
          <w:color w:val="auto"/>
        </w:rPr>
        <w:t>Inte</w:t>
      </w:r>
    </w:p>
    <w:p>
      <w:pPr>
        <w:spacing w:after="0" w:line="3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rActive Inc.</w:t>
      </w:r>
    </w:p>
    <w:p>
      <w:pPr>
        <w:spacing w:after="0" w:line="19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Phon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 (605) 363-5117</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Fax:</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(605) 363-5102</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E-ma</w:t>
      </w:r>
    </w:p>
    <w:p>
      <w:pPr>
        <w:spacing w:after="0" w:line="3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il:</w:t>
        <w:tab/>
        <w:t>sales@iact.com</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Home</w:t>
      </w:r>
    </w:p>
    <w:p>
      <w:pPr>
        <w:spacing w:after="0" w:line="3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www.iact.com</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INTERACTIVE COMPLETES DEBT TO EQUITY CONVERSION</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right="1999" w:firstLine="421"/>
        <w:spacing w:after="0" w:line="283" w:lineRule="auto"/>
        <w:rPr>
          <w:sz w:val="20"/>
          <w:szCs w:val="20"/>
          <w:color w:val="auto"/>
        </w:rPr>
      </w:pPr>
      <w:r>
        <w:rPr>
          <w:rFonts w:ascii="Courier New" w:cs="Courier New" w:eastAsia="Courier New" w:hAnsi="Courier New"/>
          <w:sz w:val="16"/>
          <w:szCs w:val="16"/>
          <w:color w:val="auto"/>
        </w:rPr>
        <w:t>Humboldt, SD, June 18, 1999 - InterActive Inc., a South Dakota corporation ("InterActive" or the "Company") whose common stock is traded in the over-the-counter market under the symbol "INAV", today announced a successful restructuring of a majority of its outstanding debt. Restructure of the Company's debt was proposed in December 1998, as publicly announced in a press release dated December 7, 1998. Effective as of June 18, 1999, the holders of approximately $1,599,000 of the Company's previously outstanding debt, have . agreed to accept shares of the Company's common stock in exchange therefor.</w:t>
      </w:r>
    </w:p>
    <w:p>
      <w:pPr>
        <w:spacing w:after="0" w:line="8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 connection with the debt restructuring, TPR Group, Inc., a Delaware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 (together with its affiliated entities, "TPR"), received 296,298</w:t>
      </w:r>
    </w:p>
    <w:p>
      <w:pPr>
        <w:spacing w:after="0"/>
        <w:rPr>
          <w:sz w:val="20"/>
          <w:szCs w:val="20"/>
          <w:color w:val="auto"/>
        </w:rPr>
      </w:pPr>
      <w:r>
        <w:rPr>
          <w:rFonts w:ascii="Courier New" w:cs="Courier New" w:eastAsia="Courier New" w:hAnsi="Courier New"/>
          <w:sz w:val="16"/>
          <w:szCs w:val="16"/>
          <w:color w:val="auto"/>
        </w:rPr>
        <w:t>shares of the Company's Common Stock in exchange for $296,298 in unsecured debt</w:t>
      </w:r>
    </w:p>
    <w:p>
      <w:pPr>
        <w:spacing w:after="0" w:line="20"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owed to it by the Company.</w:t>
      </w:r>
      <w:r>
        <w:rPr>
          <w:sz w:val="20"/>
          <w:szCs w:val="20"/>
          <w:color w:val="auto"/>
        </w:rPr>
        <w:tab/>
      </w:r>
      <w:r>
        <w:rPr>
          <w:rFonts w:ascii="Courier New" w:cs="Courier New" w:eastAsia="Courier New" w:hAnsi="Courier New"/>
          <w:sz w:val="16"/>
          <w:szCs w:val="16"/>
          <w:color w:val="auto"/>
        </w:rPr>
        <w:t>In addition , TPR acquired shares of a new series</w:t>
      </w:r>
    </w:p>
    <w:p>
      <w:pPr>
        <w:spacing w:after="0" w:line="238" w:lineRule="auto"/>
        <w:rPr>
          <w:sz w:val="20"/>
          <w:szCs w:val="20"/>
          <w:color w:val="auto"/>
        </w:rPr>
      </w:pPr>
      <w:r>
        <w:rPr>
          <w:rFonts w:ascii="Courier New" w:cs="Courier New" w:eastAsia="Courier New" w:hAnsi="Courier New"/>
          <w:sz w:val="18"/>
          <w:szCs w:val="18"/>
          <w:color w:val="auto"/>
        </w:rPr>
        <w:t>of the Company's authorized but unissued preferred stock (the "Series B</w:t>
      </w:r>
    </w:p>
    <w:p>
      <w:pPr>
        <w:spacing w:after="0"/>
        <w:rPr>
          <w:sz w:val="20"/>
          <w:szCs w:val="20"/>
          <w:color w:val="auto"/>
        </w:rPr>
      </w:pPr>
      <w:r>
        <w:rPr>
          <w:rFonts w:ascii="Courier New" w:cs="Courier New" w:eastAsia="Courier New" w:hAnsi="Courier New"/>
          <w:sz w:val="18"/>
          <w:szCs w:val="18"/>
          <w:color w:val="auto"/>
        </w:rPr>
        <w:t>Preferred Stock") which is initially convertible into 20,000,000 shares of the</w:t>
      </w:r>
    </w:p>
    <w:p>
      <w:pPr>
        <w:spacing w:after="0"/>
        <w:tabs>
          <w:tab w:leader="none" w:pos="2520" w:val="left"/>
        </w:tabs>
        <w:rPr>
          <w:sz w:val="20"/>
          <w:szCs w:val="20"/>
          <w:color w:val="auto"/>
        </w:rPr>
      </w:pPr>
      <w:r>
        <w:rPr>
          <w:rFonts w:ascii="Courier New" w:cs="Courier New" w:eastAsia="Courier New" w:hAnsi="Courier New"/>
          <w:sz w:val="18"/>
          <w:szCs w:val="18"/>
          <w:color w:val="auto"/>
        </w:rPr>
        <w:t>Company's Common Stock</w:t>
      </w:r>
      <w:r>
        <w:rPr>
          <w:sz w:val="20"/>
          <w:szCs w:val="20"/>
          <w:color w:val="auto"/>
        </w:rPr>
        <w:tab/>
      </w:r>
      <w:r>
        <w:rPr>
          <w:rFonts w:ascii="Courier New" w:cs="Courier New" w:eastAsia="Courier New" w:hAnsi="Courier New"/>
          <w:sz w:val="16"/>
          <w:szCs w:val="16"/>
          <w:color w:val="auto"/>
        </w:rPr>
        <w:t>Subject to the satisfaction of certain further</w:t>
      </w:r>
    </w:p>
    <w:p>
      <w:pPr>
        <w:spacing w:after="0"/>
        <w:rPr>
          <w:sz w:val="20"/>
          <w:szCs w:val="20"/>
          <w:color w:val="auto"/>
        </w:rPr>
      </w:pPr>
      <w:r>
        <w:rPr>
          <w:rFonts w:ascii="Courier New" w:cs="Courier New" w:eastAsia="Courier New" w:hAnsi="Courier New"/>
          <w:sz w:val="18"/>
          <w:szCs w:val="18"/>
          <w:color w:val="auto"/>
        </w:rPr>
        <w:t>conditions, TPR also has contributed to the capital of the Company the sum of</w:t>
      </w:r>
    </w:p>
    <w:p>
      <w:pPr>
        <w:spacing w:after="0"/>
        <w:rPr>
          <w:sz w:val="20"/>
          <w:szCs w:val="20"/>
          <w:color w:val="auto"/>
        </w:rPr>
      </w:pPr>
      <w:r>
        <w:rPr>
          <w:rFonts w:ascii="Courier New" w:cs="Courier New" w:eastAsia="Courier New" w:hAnsi="Courier New"/>
          <w:sz w:val="16"/>
          <w:szCs w:val="16"/>
          <w:color w:val="auto"/>
        </w:rPr>
        <w:t>$289,440 in principal and accrued interest owed to it by the Company, which was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secured by a lien on all of the Company's assets. As a result of the debt-to-</w:t>
      </w:r>
    </w:p>
    <w:p>
      <w:pPr>
        <w:spacing w:after="0" w:line="238" w:lineRule="auto"/>
        <w:rPr>
          <w:sz w:val="20"/>
          <w:szCs w:val="20"/>
          <w:color w:val="auto"/>
        </w:rPr>
      </w:pPr>
      <w:r>
        <w:rPr>
          <w:rFonts w:ascii="Courier New" w:cs="Courier New" w:eastAsia="Courier New" w:hAnsi="Courier New"/>
          <w:sz w:val="18"/>
          <w:szCs w:val="18"/>
          <w:color w:val="auto"/>
        </w:rPr>
        <w:t>equity exchange and the contribution to capital of additional indebtedness</w:t>
      </w:r>
    </w:p>
    <w:p>
      <w:pPr>
        <w:spacing w:after="0"/>
        <w:rPr>
          <w:sz w:val="20"/>
          <w:szCs w:val="20"/>
          <w:color w:val="auto"/>
        </w:rPr>
      </w:pPr>
      <w:r>
        <w:rPr>
          <w:rFonts w:ascii="Courier New" w:cs="Courier New" w:eastAsia="Courier New" w:hAnsi="Courier New"/>
          <w:sz w:val="18"/>
          <w:szCs w:val="18"/>
          <w:color w:val="auto"/>
        </w:rPr>
        <w:t>formerly owed to TPR, the Company's outstanding indebtedness has been reduced</w:t>
      </w:r>
    </w:p>
    <w:p>
      <w:pPr>
        <w:spacing w:after="0" w:line="238" w:lineRule="auto"/>
        <w:rPr>
          <w:sz w:val="20"/>
          <w:szCs w:val="20"/>
          <w:color w:val="auto"/>
        </w:rPr>
      </w:pPr>
      <w:r>
        <w:rPr>
          <w:rFonts w:ascii="Courier New" w:cs="Courier New" w:eastAsia="Courier New" w:hAnsi="Courier New"/>
          <w:sz w:val="18"/>
          <w:szCs w:val="18"/>
          <w:color w:val="auto"/>
        </w:rPr>
        <w:t>from approximately $2,916,000 at December 8, 1999 to approximately $958,283 at</w:t>
      </w:r>
    </w:p>
    <w:p>
      <w:pPr>
        <w:spacing w:after="0"/>
        <w:tabs>
          <w:tab w:leader="none" w:pos="7880" w:val="left"/>
        </w:tabs>
        <w:rPr>
          <w:sz w:val="20"/>
          <w:szCs w:val="20"/>
          <w:color w:val="auto"/>
        </w:rPr>
      </w:pPr>
      <w:r>
        <w:rPr>
          <w:rFonts w:ascii="Courier New" w:cs="Courier New" w:eastAsia="Courier New" w:hAnsi="Courier New"/>
          <w:sz w:val="18"/>
          <w:szCs w:val="18"/>
          <w:color w:val="auto"/>
        </w:rPr>
        <w:t>June 18, 1999. Subject to certain further conditions, TPR has also agreed</w:t>
        <w:tab/>
        <w:t>to</w:t>
      </w:r>
    </w:p>
    <w:p>
      <w:pPr>
        <w:spacing w:after="0" w:line="238" w:lineRule="auto"/>
        <w:rPr>
          <w:sz w:val="20"/>
          <w:szCs w:val="20"/>
          <w:color w:val="auto"/>
        </w:rPr>
      </w:pPr>
      <w:r>
        <w:rPr>
          <w:rFonts w:ascii="Courier New" w:cs="Courier New" w:eastAsia="Courier New" w:hAnsi="Courier New"/>
          <w:sz w:val="18"/>
          <w:szCs w:val="18"/>
          <w:color w:val="auto"/>
        </w:rPr>
        <w:t>exchange, at a future date, an additional $721,000 of the Company's secured</w:t>
      </w:r>
    </w:p>
    <w:p>
      <w:pPr>
        <w:spacing w:after="0"/>
        <w:rPr>
          <w:sz w:val="20"/>
          <w:szCs w:val="20"/>
          <w:color w:val="auto"/>
        </w:rPr>
      </w:pPr>
      <w:r>
        <w:rPr>
          <w:rFonts w:ascii="Courier New" w:cs="Courier New" w:eastAsia="Courier New" w:hAnsi="Courier New"/>
          <w:sz w:val="18"/>
          <w:szCs w:val="18"/>
          <w:color w:val="auto"/>
        </w:rPr>
        <w:t>indebtedness for shares of a second series of the Company's preferred stock</w:t>
      </w:r>
    </w:p>
    <w:p>
      <w:pPr>
        <w:spacing w:after="0"/>
        <w:rPr>
          <w:sz w:val="20"/>
          <w:szCs w:val="20"/>
          <w:color w:val="auto"/>
        </w:rPr>
      </w:pPr>
      <w:r>
        <w:rPr>
          <w:rFonts w:ascii="Courier New" w:cs="Courier New" w:eastAsia="Courier New" w:hAnsi="Courier New"/>
          <w:sz w:val="16"/>
          <w:szCs w:val="16"/>
          <w:color w:val="auto"/>
        </w:rPr>
        <w:t>(the "Series C Preferred Stock"), which would be convertible into an additional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6,000,000 shares of the Company's common stock.</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After giving effect to the issuance of 1,726,946 shares in connection with</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w:t>
      </w:r>
    </w:p>
    <w:p>
      <w:pPr>
        <w:ind w:right="1779"/>
        <w:spacing w:after="0" w:line="247" w:lineRule="auto"/>
        <w:rPr>
          <w:sz w:val="20"/>
          <w:szCs w:val="20"/>
          <w:color w:val="auto"/>
        </w:rPr>
      </w:pPr>
      <w:r>
        <w:rPr>
          <w:rFonts w:ascii="Courier New" w:cs="Courier New" w:eastAsia="Courier New" w:hAnsi="Courier New"/>
          <w:sz w:val="18"/>
          <w:szCs w:val="18"/>
          <w:color w:val="auto"/>
        </w:rPr>
        <w:t>debt restructuring, and taking into account the 20,000,000 shares of the Company's common stock issuable to TPR upon conversion of the Series B Preferred Stock, an aggregate of approximately 25,076,508 shares of the Company's common stock were outstanding as of June 18, 1999. Of these shares, TPR owns approximately 20,826,741 shares, or approximately 83%, and the other former creditors and stockholders of the Company own approximately 4,249,767 shares, or approximately 17%. As of June 18, 1999, an additional 1,198,000 shares of common stock were issuable upon exercise of outstanding stock options and warrants and conversion of outstanding Series A Preferred Stock.</w:t>
      </w:r>
    </w:p>
    <w:p>
      <w:pPr>
        <w:sectPr>
          <w:pgSz w:w="11900" w:h="16838" w:orient="portrait"/>
          <w:cols w:equalWidth="0" w:num="1">
            <w:col w:w="10219"/>
          </w:cols>
          <w:pgMar w:left="240" w:top="285" w:right="1440" w:bottom="1440" w:gutter="0" w:footer="0" w:header="0"/>
          <w:type w:val="continuous"/>
        </w:sectPr>
      </w:pPr>
    </w:p>
    <w:bookmarkStart w:id="13" w:name="page14"/>
    <w:bookmarkEnd w:id="13"/>
    <w:p>
      <w:pPr>
        <w:ind w:left="120"/>
        <w:spacing w:after="0"/>
        <w:rPr>
          <w:sz w:val="20"/>
          <w:szCs w:val="20"/>
          <w:color w:val="auto"/>
        </w:rPr>
      </w:pPr>
      <w:r>
        <w:rPr>
          <w:rFonts w:ascii="Courier New" w:cs="Courier New" w:eastAsia="Courier New" w:hAnsi="Courier New"/>
          <w:sz w:val="18"/>
          <w:szCs w:val="18"/>
          <w:color w:val="auto"/>
        </w:rPr>
        <w:t>14</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As holder of the Series B Preferred Stock, TPR will be entitled to elect a</w:t>
      </w:r>
    </w:p>
    <w:p>
      <w:pPr>
        <w:spacing w:after="0" w:line="238" w:lineRule="auto"/>
        <w:rPr>
          <w:sz w:val="20"/>
          <w:szCs w:val="20"/>
          <w:color w:val="auto"/>
        </w:rPr>
      </w:pPr>
      <w:r>
        <w:rPr>
          <w:rFonts w:ascii="Courier New" w:cs="Courier New" w:eastAsia="Courier New" w:hAnsi="Courier New"/>
          <w:sz w:val="18"/>
          <w:szCs w:val="18"/>
          <w:color w:val="auto"/>
        </w:rPr>
        <w:t>majority of the directors of the Company and to vote along with the Company's</w:t>
      </w:r>
    </w:p>
    <w:p>
      <w:pPr>
        <w:spacing w:after="0"/>
        <w:rPr>
          <w:sz w:val="20"/>
          <w:szCs w:val="20"/>
          <w:color w:val="auto"/>
        </w:rPr>
      </w:pPr>
      <w:r>
        <w:rPr>
          <w:rFonts w:ascii="Courier New" w:cs="Courier New" w:eastAsia="Courier New" w:hAnsi="Courier New"/>
          <w:sz w:val="18"/>
          <w:szCs w:val="18"/>
          <w:color w:val="auto"/>
        </w:rPr>
        <w:t>common stock holders on all other matters, with the right to cast one vote for</w:t>
      </w:r>
    </w:p>
    <w:p>
      <w:pPr>
        <w:spacing w:after="0" w:line="238" w:lineRule="auto"/>
        <w:rPr>
          <w:sz w:val="20"/>
          <w:szCs w:val="20"/>
          <w:color w:val="auto"/>
        </w:rPr>
      </w:pPr>
      <w:r>
        <w:rPr>
          <w:rFonts w:ascii="Courier New" w:cs="Courier New" w:eastAsia="Courier New" w:hAnsi="Courier New"/>
          <w:sz w:val="18"/>
          <w:szCs w:val="18"/>
          <w:color w:val="auto"/>
        </w:rPr>
        <w:t>each share of the Company's Common Stock into which the Series B Preferred</w:t>
      </w:r>
    </w:p>
    <w:p>
      <w:pPr>
        <w:spacing w:after="0"/>
        <w:tabs>
          <w:tab w:leader="none" w:pos="2940" w:val="left"/>
        </w:tabs>
        <w:rPr>
          <w:sz w:val="20"/>
          <w:szCs w:val="20"/>
          <w:color w:val="auto"/>
        </w:rPr>
      </w:pPr>
      <w:r>
        <w:rPr>
          <w:rFonts w:ascii="Courier New" w:cs="Courier New" w:eastAsia="Courier New" w:hAnsi="Courier New"/>
          <w:sz w:val="18"/>
          <w:szCs w:val="18"/>
          <w:color w:val="auto"/>
        </w:rPr>
        <w:t>Stock is then convertible.</w:t>
      </w:r>
      <w:r>
        <w:rPr>
          <w:sz w:val="20"/>
          <w:szCs w:val="20"/>
          <w:color w:val="auto"/>
        </w:rPr>
        <w:tab/>
      </w:r>
      <w:r>
        <w:rPr>
          <w:rFonts w:ascii="Courier New" w:cs="Courier New" w:eastAsia="Courier New" w:hAnsi="Courier New"/>
          <w:sz w:val="16"/>
          <w:szCs w:val="16"/>
          <w:color w:val="auto"/>
        </w:rPr>
        <w:t>TPR has agreed to use its best efforts to assist the</w:t>
      </w:r>
    </w:p>
    <w:p>
      <w:pPr>
        <w:spacing w:after="0" w:line="238" w:lineRule="auto"/>
        <w:rPr>
          <w:sz w:val="20"/>
          <w:szCs w:val="20"/>
          <w:color w:val="auto"/>
        </w:rPr>
      </w:pPr>
      <w:r>
        <w:rPr>
          <w:rFonts w:ascii="Courier New" w:cs="Courier New" w:eastAsia="Courier New" w:hAnsi="Courier New"/>
          <w:sz w:val="18"/>
          <w:szCs w:val="18"/>
          <w:color w:val="auto"/>
        </w:rPr>
        <w:t>Company in developing a technical consulting business and/or developing or</w:t>
      </w:r>
    </w:p>
    <w:p>
      <w:pPr>
        <w:spacing w:after="0"/>
        <w:rPr>
          <w:sz w:val="20"/>
          <w:szCs w:val="20"/>
          <w:color w:val="auto"/>
        </w:rPr>
      </w:pPr>
      <w:r>
        <w:rPr>
          <w:rFonts w:ascii="Courier New" w:cs="Courier New" w:eastAsia="Courier New" w:hAnsi="Courier New"/>
          <w:sz w:val="18"/>
          <w:szCs w:val="18"/>
          <w:color w:val="auto"/>
        </w:rPr>
        <w:t>acquiring such other business or businesses as the officers and directors of</w:t>
      </w:r>
    </w:p>
    <w:p>
      <w:pPr>
        <w:spacing w:after="0"/>
        <w:rPr>
          <w:sz w:val="20"/>
          <w:szCs w:val="20"/>
          <w:color w:val="auto"/>
        </w:rPr>
      </w:pPr>
      <w:r>
        <w:rPr>
          <w:rFonts w:ascii="Courier New" w:cs="Courier New" w:eastAsia="Courier New" w:hAnsi="Courier New"/>
          <w:sz w:val="16"/>
          <w:szCs w:val="16"/>
          <w:color w:val="auto"/>
        </w:rPr>
        <w:t>the Company, in consultation with TPR, deem desirable and appropriate (although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such acquisition is currently contemplated).</w:t>
      </w:r>
    </w:p>
    <w:p>
      <w:pPr>
        <w:spacing w:after="0" w:line="169" w:lineRule="exact"/>
        <w:rPr>
          <w:sz w:val="20"/>
          <w:szCs w:val="20"/>
          <w:color w:val="auto"/>
        </w:rPr>
      </w:pPr>
    </w:p>
    <w:p>
      <w:pPr>
        <w:ind w:right="1999" w:firstLine="421"/>
        <w:spacing w:after="0" w:line="260" w:lineRule="auto"/>
        <w:rPr>
          <w:sz w:val="20"/>
          <w:szCs w:val="20"/>
          <w:color w:val="auto"/>
        </w:rPr>
      </w:pPr>
      <w:r>
        <w:rPr>
          <w:rFonts w:ascii="Courier New" w:cs="Courier New" w:eastAsia="Courier New" w:hAnsi="Courier New"/>
          <w:sz w:val="18"/>
          <w:szCs w:val="18"/>
          <w:color w:val="auto"/>
        </w:rPr>
        <w:t>InterActive Inc. designs, manufactures and markets personal computer-based multimedia products for use over the Internet and local area networks and in kiosks and security systems. InterActive's corporate headquarters are located at 204 North Main, Humboldt, South Dakota. The telephone number is 605-363-5117 and fax number is 605-363-5102. InterActive's home page address is http://www.iact.com.</w:t>
      </w:r>
    </w:p>
    <w:sectPr>
      <w:pgSz w:w="11900" w:h="16838" w:orient="portrait"/>
      <w:cols w:equalWidth="0" w:num="1">
        <w:col w:w="10219"/>
      </w:cols>
      <w:pgMar w:left="24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605"/>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2020-02-22T15:34:14Z</dcterms:created>
  <dcterms:modified xsi:type="dcterms:W3CDTF">2020-02-22T15:34:14Z</dcterms:modified>
</cp:coreProperties>
</file>