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193675</wp:posOffset>
            </wp:positionH>
            <wp:positionV relativeFrom="page">
              <wp:posOffset>560705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45720</wp:posOffset>
            </wp:positionV>
            <wp:extent cx="16370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698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65405</wp:posOffset>
            </wp:positionV>
            <wp:extent cx="16370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6985"/>
                    </a:xfrm>
                    <a:prstGeom prst="rect">
                      <a:avLst/>
                    </a:prstGeom>
                    <a:noFill/>
                  </pic:spPr>
                </pic:pic>
              </a:graphicData>
            </a:graphic>
          </wp:anchor>
        </w:drawing>
      </w:r>
    </w:p>
    <w:p>
      <w:pPr>
        <w:spacing w:after="0" w:line="30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ind w:left="388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FEBRUARY 10, 2023</w:t>
      </w: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w:t>
      </w: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52070</wp:posOffset>
            </wp:positionV>
            <wp:extent cx="16370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698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Arrowhead Pharmaceuticals,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45085</wp:posOffset>
            </wp:positionV>
            <wp:extent cx="16370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6985"/>
                    </a:xfrm>
                    <a:prstGeom prst="rect">
                      <a:avLst/>
                    </a:prstGeom>
                    <a:noFill/>
                  </pic:spPr>
                </pic:pic>
              </a:graphicData>
            </a:graphic>
          </wp:anchor>
        </w:drawing>
      </w:r>
    </w:p>
    <w:p>
      <w:pPr>
        <w:spacing w:after="0" w:line="174" w:lineRule="exact"/>
        <w:rPr>
          <w:sz w:val="24"/>
          <w:szCs w:val="24"/>
          <w:color w:val="auto"/>
        </w:rPr>
      </w:pPr>
    </w:p>
    <w:tbl>
      <w:tblPr>
        <w:tblLayout w:type="fixed"/>
        <w:tblInd w:w="1260" w:type="dxa"/>
        <w:tblCellMar>
          <w:top w:w="0" w:type="dxa"/>
          <w:left w:w="0" w:type="dxa"/>
          <w:bottom w:w="0" w:type="dxa"/>
          <w:right w:w="0" w:type="dxa"/>
        </w:tblCellMar>
      </w:tblPr>
      <w:tr>
        <w:trPr>
          <w:trHeight w:val="184"/>
        </w:trPr>
        <w:tc>
          <w:tcPr>
            <w:tcW w:w="2020" w:type="dxa"/>
            <w:vAlign w:val="bottom"/>
          </w:tcPr>
          <w:p>
            <w:pPr>
              <w:jc w:val="center"/>
              <w:ind w:right="739"/>
              <w:spacing w:after="0"/>
              <w:rPr>
                <w:sz w:val="20"/>
                <w:szCs w:val="20"/>
                <w:color w:val="auto"/>
              </w:rPr>
            </w:pPr>
            <w:r>
              <w:rPr>
                <w:rFonts w:ascii="Times New Roman" w:cs="Times New Roman" w:eastAsia="Times New Roman" w:hAnsi="Times New Roman"/>
                <w:sz w:val="14"/>
                <w:szCs w:val="14"/>
                <w:color w:val="auto"/>
              </w:rPr>
              <w:t>Delaware</w:t>
            </w:r>
          </w:p>
        </w:tc>
        <w:tc>
          <w:tcPr>
            <w:tcW w:w="3660" w:type="dxa"/>
            <w:vAlign w:val="bottom"/>
            <w:gridSpan w:val="2"/>
          </w:tcPr>
          <w:p>
            <w:pPr>
              <w:jc w:val="center"/>
              <w:ind w:left="973"/>
              <w:spacing w:after="0"/>
              <w:rPr>
                <w:sz w:val="20"/>
                <w:szCs w:val="20"/>
                <w:color w:val="auto"/>
              </w:rPr>
            </w:pPr>
            <w:r>
              <w:rPr>
                <w:rFonts w:ascii="Times New Roman" w:cs="Times New Roman" w:eastAsia="Times New Roman" w:hAnsi="Times New Roman"/>
                <w:sz w:val="14"/>
                <w:szCs w:val="14"/>
                <w:color w:val="auto"/>
              </w:rPr>
              <w:t>001-38042</w:t>
            </w:r>
          </w:p>
        </w:tc>
        <w:tc>
          <w:tcPr>
            <w:tcW w:w="1160" w:type="dxa"/>
            <w:vAlign w:val="bottom"/>
          </w:tcPr>
          <w:p>
            <w:pPr>
              <w:spacing w:after="0"/>
              <w:rPr>
                <w:sz w:val="16"/>
                <w:szCs w:val="16"/>
                <w:color w:val="auto"/>
              </w:rPr>
            </w:pPr>
          </w:p>
        </w:tc>
        <w:tc>
          <w:tcPr>
            <w:tcW w:w="1740" w:type="dxa"/>
            <w:vAlign w:val="bottom"/>
          </w:tcPr>
          <w:p>
            <w:pPr>
              <w:jc w:val="center"/>
              <w:ind w:left="839"/>
              <w:spacing w:after="0"/>
              <w:rPr>
                <w:sz w:val="20"/>
                <w:szCs w:val="20"/>
                <w:color w:val="auto"/>
              </w:rPr>
            </w:pPr>
            <w:r>
              <w:rPr>
                <w:rFonts w:ascii="Times New Roman" w:cs="Times New Roman" w:eastAsia="Times New Roman" w:hAnsi="Times New Roman"/>
                <w:sz w:val="14"/>
                <w:szCs w:val="14"/>
                <w:color w:val="auto"/>
              </w:rPr>
              <w:t>46-0408024</w:t>
            </w:r>
          </w:p>
        </w:tc>
      </w:tr>
      <w:tr>
        <w:trPr>
          <w:trHeight w:val="142"/>
        </w:trPr>
        <w:tc>
          <w:tcPr>
            <w:tcW w:w="2020" w:type="dxa"/>
            <w:vAlign w:val="bottom"/>
          </w:tcPr>
          <w:p>
            <w:pPr>
              <w:jc w:val="center"/>
              <w:ind w:right="759"/>
              <w:spacing w:after="0"/>
              <w:rPr>
                <w:sz w:val="20"/>
                <w:szCs w:val="20"/>
                <w:color w:val="auto"/>
              </w:rPr>
            </w:pPr>
            <w:r>
              <w:rPr>
                <w:rFonts w:ascii="Times New Roman" w:cs="Times New Roman" w:eastAsia="Times New Roman" w:hAnsi="Times New Roman"/>
                <w:sz w:val="11"/>
                <w:szCs w:val="11"/>
                <w:color w:val="auto"/>
              </w:rPr>
              <w:t>(State or other jurisdiction</w:t>
            </w:r>
          </w:p>
        </w:tc>
        <w:tc>
          <w:tcPr>
            <w:tcW w:w="1080" w:type="dxa"/>
            <w:vAlign w:val="bottom"/>
          </w:tcPr>
          <w:p>
            <w:pPr>
              <w:spacing w:after="0"/>
              <w:rPr>
                <w:sz w:val="12"/>
                <w:szCs w:val="12"/>
                <w:color w:val="auto"/>
              </w:rPr>
            </w:pPr>
          </w:p>
        </w:tc>
        <w:tc>
          <w:tcPr>
            <w:tcW w:w="3740" w:type="dxa"/>
            <w:vAlign w:val="bottom"/>
            <w:gridSpan w:val="2"/>
          </w:tcPr>
          <w:p>
            <w:pPr>
              <w:jc w:val="center"/>
              <w:ind w:right="1200"/>
              <w:spacing w:after="0"/>
              <w:rPr>
                <w:sz w:val="20"/>
                <w:szCs w:val="20"/>
                <w:color w:val="auto"/>
              </w:rPr>
            </w:pPr>
            <w:r>
              <w:rPr>
                <w:rFonts w:ascii="Times New Roman" w:cs="Times New Roman" w:eastAsia="Times New Roman" w:hAnsi="Times New Roman"/>
                <w:sz w:val="11"/>
                <w:szCs w:val="11"/>
                <w:color w:val="auto"/>
              </w:rPr>
              <w:t>(Commission</w:t>
            </w:r>
          </w:p>
        </w:tc>
        <w:tc>
          <w:tcPr>
            <w:tcW w:w="1740" w:type="dxa"/>
            <w:vAlign w:val="bottom"/>
          </w:tcPr>
          <w:p>
            <w:pPr>
              <w:jc w:val="center"/>
              <w:ind w:left="839"/>
              <w:spacing w:after="0"/>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2020" w:type="dxa"/>
            <w:vAlign w:val="bottom"/>
          </w:tcPr>
          <w:p>
            <w:pPr>
              <w:jc w:val="center"/>
              <w:ind w:right="759"/>
              <w:spacing w:after="0"/>
              <w:rPr>
                <w:sz w:val="20"/>
                <w:szCs w:val="20"/>
                <w:color w:val="auto"/>
              </w:rPr>
            </w:pPr>
            <w:r>
              <w:rPr>
                <w:rFonts w:ascii="Times New Roman" w:cs="Times New Roman" w:eastAsia="Times New Roman" w:hAnsi="Times New Roman"/>
                <w:sz w:val="11"/>
                <w:szCs w:val="11"/>
                <w:color w:val="auto"/>
              </w:rPr>
              <w:t>of incorporation)</w:t>
            </w:r>
          </w:p>
        </w:tc>
        <w:tc>
          <w:tcPr>
            <w:tcW w:w="1080" w:type="dxa"/>
            <w:vAlign w:val="bottom"/>
          </w:tcPr>
          <w:p>
            <w:pPr>
              <w:spacing w:after="0"/>
              <w:rPr>
                <w:sz w:val="12"/>
                <w:szCs w:val="12"/>
                <w:color w:val="auto"/>
              </w:rPr>
            </w:pPr>
          </w:p>
        </w:tc>
        <w:tc>
          <w:tcPr>
            <w:tcW w:w="3740" w:type="dxa"/>
            <w:vAlign w:val="bottom"/>
            <w:gridSpan w:val="2"/>
          </w:tcPr>
          <w:p>
            <w:pPr>
              <w:jc w:val="center"/>
              <w:ind w:right="1200"/>
              <w:spacing w:after="0"/>
              <w:rPr>
                <w:sz w:val="20"/>
                <w:szCs w:val="20"/>
                <w:color w:val="auto"/>
              </w:rPr>
            </w:pPr>
            <w:r>
              <w:rPr>
                <w:rFonts w:ascii="Times New Roman" w:cs="Times New Roman" w:eastAsia="Times New Roman" w:hAnsi="Times New Roman"/>
                <w:sz w:val="11"/>
                <w:szCs w:val="11"/>
                <w:color w:val="auto"/>
              </w:rPr>
              <w:t>File Number)</w:t>
            </w:r>
          </w:p>
        </w:tc>
        <w:tc>
          <w:tcPr>
            <w:tcW w:w="1740" w:type="dxa"/>
            <w:vAlign w:val="bottom"/>
          </w:tcPr>
          <w:p>
            <w:pPr>
              <w:jc w:val="center"/>
              <w:ind w:left="839"/>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44"/>
        </w:trPr>
        <w:tc>
          <w:tcPr>
            <w:tcW w:w="2020" w:type="dxa"/>
            <w:vAlign w:val="bottom"/>
          </w:tcPr>
          <w:p>
            <w:pPr>
              <w:spacing w:after="0"/>
              <w:rPr>
                <w:sz w:val="21"/>
                <w:szCs w:val="21"/>
                <w:color w:val="auto"/>
              </w:rPr>
            </w:pPr>
          </w:p>
        </w:tc>
        <w:tc>
          <w:tcPr>
            <w:tcW w:w="4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177 E. Colorado Blvd, Suite 700, Pasadena, CA 91105</w:t>
            </w:r>
          </w:p>
        </w:tc>
        <w:tc>
          <w:tcPr>
            <w:tcW w:w="1740" w:type="dxa"/>
            <w:vAlign w:val="bottom"/>
          </w:tcPr>
          <w:p>
            <w:pPr>
              <w:spacing w:after="0"/>
              <w:rPr>
                <w:sz w:val="21"/>
                <w:szCs w:val="21"/>
                <w:color w:val="auto"/>
              </w:rPr>
            </w:pPr>
          </w:p>
        </w:tc>
      </w:tr>
      <w:tr>
        <w:trPr>
          <w:trHeight w:val="132"/>
        </w:trPr>
        <w:tc>
          <w:tcPr>
            <w:tcW w:w="2020" w:type="dxa"/>
            <w:vAlign w:val="bottom"/>
          </w:tcPr>
          <w:p>
            <w:pPr>
              <w:spacing w:after="0"/>
              <w:rPr>
                <w:sz w:val="11"/>
                <w:szCs w:val="11"/>
                <w:color w:val="auto"/>
              </w:rPr>
            </w:pPr>
          </w:p>
        </w:tc>
        <w:tc>
          <w:tcPr>
            <w:tcW w:w="48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1740" w:type="dxa"/>
            <w:vAlign w:val="bottom"/>
          </w:tcPr>
          <w:p>
            <w:pPr>
              <w:spacing w:after="0"/>
              <w:rPr>
                <w:sz w:val="11"/>
                <w:szCs w:val="11"/>
                <w:color w:val="auto"/>
              </w:rPr>
            </w:pPr>
          </w:p>
        </w:tc>
      </w:tr>
      <w:tr>
        <w:trPr>
          <w:trHeight w:val="165"/>
        </w:trPr>
        <w:tc>
          <w:tcPr>
            <w:tcW w:w="2020" w:type="dxa"/>
            <w:vAlign w:val="bottom"/>
          </w:tcPr>
          <w:p>
            <w:pPr>
              <w:spacing w:after="0"/>
              <w:rPr>
                <w:sz w:val="14"/>
                <w:szCs w:val="14"/>
                <w:color w:val="auto"/>
              </w:rPr>
            </w:pPr>
          </w:p>
        </w:tc>
        <w:tc>
          <w:tcPr>
            <w:tcW w:w="3660" w:type="dxa"/>
            <w:vAlign w:val="bottom"/>
            <w:gridSpan w:val="2"/>
          </w:tcPr>
          <w:p>
            <w:pPr>
              <w:jc w:val="center"/>
              <w:ind w:left="993"/>
              <w:spacing w:after="0"/>
              <w:rPr>
                <w:sz w:val="20"/>
                <w:szCs w:val="20"/>
                <w:color w:val="auto"/>
              </w:rPr>
            </w:pPr>
            <w:r>
              <w:rPr>
                <w:rFonts w:ascii="Times New Roman" w:cs="Times New Roman" w:eastAsia="Times New Roman" w:hAnsi="Times New Roman"/>
                <w:sz w:val="14"/>
                <w:szCs w:val="14"/>
                <w:color w:val="auto"/>
              </w:rPr>
              <w:t>(626) 304-3400</w:t>
            </w: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49"/>
        </w:trPr>
        <w:tc>
          <w:tcPr>
            <w:tcW w:w="2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740" w:type="dxa"/>
            <w:vAlign w:val="bottom"/>
            <w:gridSpan w:val="2"/>
          </w:tcPr>
          <w:p>
            <w:pPr>
              <w:jc w:val="center"/>
              <w:ind w:right="118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1740" w:type="dxa"/>
            <w:vAlign w:val="bottom"/>
          </w:tcPr>
          <w:p>
            <w:pPr>
              <w:spacing w:after="0"/>
              <w:rPr>
                <w:sz w:val="12"/>
                <w:szCs w:val="12"/>
                <w:color w:val="auto"/>
              </w:rPr>
            </w:pPr>
          </w:p>
        </w:tc>
      </w:tr>
      <w:tr>
        <w:trPr>
          <w:trHeight w:val="72"/>
        </w:trPr>
        <w:tc>
          <w:tcPr>
            <w:tcW w:w="2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1740" w:type="dxa"/>
            <w:vAlign w:val="bottom"/>
          </w:tcPr>
          <w:p>
            <w:pPr>
              <w:spacing w:after="0"/>
              <w:rPr>
                <w:sz w:val="6"/>
                <w:szCs w:val="6"/>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0" w:lineRule="exact"/>
        <w:rPr>
          <w:rFonts w:ascii="MS PGothic" w:cs="MS PGothic" w:eastAsia="MS PGothic" w:hAnsi="MS PGothic"/>
          <w:sz w:val="14"/>
          <w:szCs w:val="1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0" w:lineRule="exact"/>
        <w:rPr>
          <w:rFonts w:ascii="MS PGothic" w:cs="MS PGothic" w:eastAsia="MS PGothic" w:hAnsi="MS PGothic"/>
          <w:sz w:val="14"/>
          <w:szCs w:val="1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0" w:lineRule="exact"/>
        <w:rPr>
          <w:rFonts w:ascii="MS PGothic" w:cs="MS PGothic" w:eastAsia="MS PGothic" w:hAnsi="MS PGothic"/>
          <w:sz w:val="14"/>
          <w:szCs w:val="1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 (c) under the Exchange Act (17 CFR 240.13e-4(c))</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37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3780" w:type="dxa"/>
            <w:vAlign w:val="bottom"/>
          </w:tcPr>
          <w:p>
            <w:pPr>
              <w:spacing w:after="0"/>
              <w:rPr>
                <w:sz w:val="12"/>
                <w:szCs w:val="12"/>
                <w:color w:val="auto"/>
              </w:rPr>
            </w:pPr>
          </w:p>
        </w:tc>
      </w:tr>
      <w:tr>
        <w:trPr>
          <w:trHeight w:val="179"/>
        </w:trPr>
        <w:tc>
          <w:tcPr>
            <w:tcW w:w="3780" w:type="dxa"/>
            <w:vAlign w:val="bottom"/>
            <w:tcBorders>
              <w:bottom w:val="single" w:sz="8" w:color="auto"/>
            </w:tcBorders>
          </w:tcPr>
          <w:p>
            <w:pPr>
              <w:jc w:val="center"/>
              <w:ind w:left="68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jc w:val="center"/>
              <w:ind w:right="70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1"/>
        </w:trPr>
        <w:tc>
          <w:tcPr>
            <w:tcW w:w="3780" w:type="dxa"/>
            <w:vAlign w:val="bottom"/>
          </w:tcPr>
          <w:p>
            <w:pPr>
              <w:jc w:val="center"/>
              <w:ind w:left="683"/>
              <w:spacing w:after="0"/>
              <w:rPr>
                <w:sz w:val="20"/>
                <w:szCs w:val="20"/>
                <w:color w:val="auto"/>
              </w:rPr>
            </w:pPr>
            <w:r>
              <w:rPr>
                <w:rFonts w:ascii="Times New Roman" w:cs="Times New Roman" w:eastAsia="Times New Roman" w:hAnsi="Times New Roman"/>
                <w:sz w:val="11"/>
                <w:szCs w:val="11"/>
                <w:b w:val="1"/>
                <w:bCs w:val="1"/>
                <w:color w:val="auto"/>
              </w:rPr>
              <w:t>Common Stock, par value $0.001 per share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3"/>
          </w:tcPr>
          <w:p>
            <w:pPr>
              <w:jc w:val="center"/>
              <w:ind w:right="820"/>
              <w:spacing w:after="0"/>
              <w:rPr>
                <w:sz w:val="20"/>
                <w:szCs w:val="20"/>
                <w:color w:val="auto"/>
              </w:rPr>
            </w:pPr>
            <w:r>
              <w:rPr>
                <w:rFonts w:ascii="Times New Roman" w:cs="Times New Roman" w:eastAsia="Times New Roman" w:hAnsi="Times New Roman"/>
                <w:sz w:val="11"/>
                <w:szCs w:val="11"/>
                <w:b w:val="1"/>
                <w:bCs w:val="1"/>
                <w:color w:val="auto"/>
              </w:rPr>
              <w:t>ARWR</w:t>
            </w:r>
          </w:p>
        </w:tc>
        <w:tc>
          <w:tcPr>
            <w:tcW w:w="3780" w:type="dxa"/>
            <w:vAlign w:val="bottom"/>
          </w:tcPr>
          <w:p>
            <w:pPr>
              <w:jc w:val="center"/>
              <w:ind w:right="683"/>
              <w:spacing w:after="0"/>
              <w:rPr>
                <w:sz w:val="20"/>
                <w:szCs w:val="20"/>
                <w:color w:val="auto"/>
              </w:rPr>
            </w:pPr>
            <w:r>
              <w:rPr>
                <w:rFonts w:ascii="Times New Roman" w:cs="Times New Roman" w:eastAsia="Times New Roman" w:hAnsi="Times New Roman"/>
                <w:sz w:val="11"/>
                <w:szCs w:val="11"/>
                <w:b w:val="1"/>
                <w:bCs w:val="1"/>
                <w:color w:val="auto"/>
              </w:rPr>
              <w:t>The Nasdaq Global Select Market</w:t>
            </w:r>
          </w:p>
        </w:tc>
      </w:tr>
    </w:tbl>
    <w:p>
      <w:pPr>
        <w:spacing w:after="0" w:line="68" w:lineRule="exact"/>
        <w:rPr>
          <w:sz w:val="24"/>
          <w:szCs w:val="24"/>
          <w:color w:val="auto"/>
        </w:rPr>
      </w:pPr>
    </w:p>
    <w:p>
      <w:pPr>
        <w:ind w:right="58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95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516890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1.02 Termination of a Material Definitive Agreement.</w:t>
      </w:r>
    </w:p>
    <w:p>
      <w:pPr>
        <w:spacing w:after="0" w:line="18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On February 10, 2023, Arrowhead Pharmaceuticals, Inc. (the “Company”) received notice from Janssen Pharmaceuticals, Inc. (“Janssen”) that Janssen has elected to terminate the Research Collaboration and Option Agreement between the Company and Janssen, dated October 3, 2018 (as amended by Amendment No. 1 to the Research Collaboration and Option Agreement between the Company and Janssen, dated as of November 14, 2019, the “Collaboration Agreement”). Janssen exercised its right to terminate the Collaboration Agreement for convenience. The termination will take effect on April 7, 2023.</w:t>
      </w:r>
    </w:p>
    <w:p>
      <w:pPr>
        <w:spacing w:after="0" w:line="16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4"/>
          <w:szCs w:val="14"/>
          <w:color w:val="auto"/>
        </w:rPr>
        <w:t>Under the terms of the Collaboration Agreement, Janssen was able to select three new targets against which the Company could develop clinical candidates. These candidates were subject to certain restrictions and did not include candidates that already were in the Company’s pipeline. The Company was obligated to perform discovery, optimization and preclinical research and development, entirely funded by Janssen, which on its own or in combination with Janssen's development work, has been sufficient to allow the filing of a U.S. Investigational New Drug Application or equivalent, at which time Janssen would have had the option to take an exclusive license. Janssen exercised this option for one compound, ARO-PNPLA3, formerly called JNJ-75220795, and declined to exercise its options with respect to the other two targets. Janssen has been wholly responsible for the clinical development and commercialization of ARO-PNPLA3, until termination of the Collaboration Agreement, as described in this Current Report on Form 8-K.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upon the termination of the Collaboration Agreement, all rights and licenses granted thereunder shall revert back to the Company.</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The foregoing summary of the terms of the Collaboration Agreement is qualified in its entirety by reference to the Collaboration Agreement and Amendment No. 1 to the Collaboration Agreement, which were filed as Exhibits 10.21 and 10.22 to the Company’s Annual Report on Form 10-K for the year ended September 30, 2022.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20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On February 15, 2023, the Company issued a press release announcing the termination of the Collaboration Agreement with Janssen. A copy of the press release is attached as Exhibit 99.1 hereto and is incorporated herein by reference.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0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0" w:type="dxa"/>
            <w:vAlign w:val="bottom"/>
          </w:tcPr>
          <w:p>
            <w:pPr>
              <w:spacing w:after="0"/>
              <w:rPr>
                <w:sz w:val="13"/>
                <w:szCs w:val="13"/>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97"/>
        </w:trPr>
        <w:tc>
          <w:tcPr>
            <w:tcW w:w="1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6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Press Release, dated February 15, 2023.</w:t>
            </w:r>
          </w:p>
        </w:tc>
        <w:tc>
          <w:tcPr>
            <w:tcW w:w="7200" w:type="dxa"/>
            <w:vAlign w:val="bottom"/>
            <w:tcBorders>
              <w:top w:val="single" w:sz="8" w:color="auto"/>
            </w:tcBorders>
          </w:tcPr>
          <w:p>
            <w:pPr>
              <w:spacing w:after="0"/>
              <w:rPr>
                <w:sz w:val="24"/>
                <w:szCs w:val="24"/>
                <w:color w:val="auto"/>
              </w:rPr>
            </w:pPr>
          </w:p>
        </w:tc>
      </w:tr>
      <w:tr>
        <w:trPr>
          <w:trHeight w:val="425"/>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(the cover page tags are embedded within the Inline XBRL document).</w:t>
            </w:r>
          </w:p>
        </w:tc>
      </w:tr>
      <w:tr>
        <w:trPr>
          <w:trHeight w:val="808"/>
        </w:trPr>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15, 2023</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ARROWHEAD PHARMACEUTICALS, INC.</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4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/s/ Kenneth Myszkowski</w:t>
            </w:r>
          </w:p>
        </w:tc>
      </w:tr>
      <w:tr>
        <w:trPr>
          <w:trHeight w:val="187"/>
        </w:trPr>
        <w:tc>
          <w:tcPr>
            <w:tcW w:w="940" w:type="dxa"/>
            <w:vAlign w:val="bottom"/>
          </w:tcPr>
          <w:p>
            <w:pPr>
              <w:spacing w:after="0"/>
              <w:rPr>
                <w:sz w:val="16"/>
                <w:szCs w:val="16"/>
                <w:color w:val="auto"/>
              </w:rPr>
            </w:pPr>
          </w:p>
        </w:tc>
        <w:tc>
          <w:tcPr>
            <w:tcW w:w="54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Kenneth Myszkowski</w:t>
            </w:r>
          </w:p>
        </w:tc>
      </w:tr>
      <w:tr>
        <w:trPr>
          <w:trHeight w:val="202"/>
        </w:trPr>
        <w:tc>
          <w:tcPr>
            <w:tcW w:w="940" w:type="dxa"/>
            <w:vAlign w:val="bottom"/>
          </w:tcPr>
          <w:p>
            <w:pPr>
              <w:spacing w:after="0"/>
              <w:rPr>
                <w:sz w:val="17"/>
                <w:szCs w:val="17"/>
                <w:color w:val="auto"/>
              </w:rPr>
            </w:pPr>
          </w:p>
        </w:tc>
        <w:tc>
          <w:tcPr>
            <w:tcW w:w="54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0320"/>
          </w:cols>
          <w:pgMar w:left="300" w:top="759" w:right="12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2023-02-15T07:37:11Z</dcterms:created>
  <dcterms:modified xsi:type="dcterms:W3CDTF">2023-02-15T07:37:11Z</dcterms:modified>
</cp:coreProperties>
</file>