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  <w:tab/>
        <w:t>Form 10QSSB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199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Tthe subject report could not be filed without unreasonable effort or expense the registrant seeks relief pursuant to Rule 12b-25(b). The subject quarterly report on Form 10Q will be filed on or before the fifth calendar day following the prescribed due date.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right="187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10-QSB can not be filed within the prescribed time period because there is currently only one person in the accounting department with a severe limitation of time.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Carol Flickinger 605-363-5117 in regard to this notification.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19"/>
        <w:spacing w:after="0" w:line="28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Have all other periodic reports required under section 13 or 15(d) of the Securities Exchange Act or 1934 or Section 30 of the Investment Company Act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96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1940 during the preceding 12 monts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 that the registrant was required</w:t>
            </w:r>
          </w:p>
        </w:tc>
      </w:tr>
      <w:tr>
        <w:trPr>
          <w:trHeight w:val="203"/>
        </w:trPr>
        <w:tc>
          <w:tcPr>
            <w:tcW w:w="2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to file such reports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been filed?</w:t>
            </w:r>
          </w:p>
        </w:tc>
        <w:tc>
          <w:tcPr>
            <w:tcW w:w="4380" w:type="dxa"/>
            <w:vAlign w:val="bottom"/>
          </w:tcPr>
          <w:p>
            <w:pPr>
              <w:ind w:left="2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Yes</w:t>
            </w: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Is it anticipated that any signifcant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change in results of operations from</w:t>
            </w: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corresponding period for the last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fiscal year will be reflected by the</w:t>
            </w: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earnings statements to be included in</w:t>
            </w:r>
          </w:p>
        </w:tc>
        <w:tc>
          <w:tcPr>
            <w:tcW w:w="43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subject report or portion</w:t>
            </w:r>
          </w:p>
        </w:tc>
      </w:tr>
      <w:tr>
        <w:trPr>
          <w:trHeight w:val="203"/>
        </w:trPr>
        <w:tc>
          <w:tcPr>
            <w:tcW w:w="2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thereof?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ind w:left="2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</w:t>
            </w:r>
          </w:p>
        </w:tc>
      </w:tr>
      <w:tr>
        <w:trPr>
          <w:trHeight w:val="203"/>
        </w:trPr>
        <w:tc>
          <w:tcPr>
            <w:tcW w:w="2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InterActive Inc. has</w:t>
            </w:r>
          </w:p>
        </w:tc>
        <w:tc>
          <w:tcPr>
            <w:tcW w:w="61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caused this notification to be signed on its behalf by the</w:t>
            </w:r>
          </w:p>
        </w:tc>
      </w:tr>
      <w:tr>
        <w:trPr>
          <w:trHeight w:val="29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undersigned hereunto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authorized.</w:t>
            </w: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Date: May 12, 1998</w:t>
            </w:r>
          </w:p>
        </w:tc>
        <w:tc>
          <w:tcPr>
            <w:tcW w:w="6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By:\s\Robert Stahl, President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0219"/>
      </w:cols>
      <w:pgMar w:left="24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2020-02-22T11:59:46Z</dcterms:created>
  <dcterms:modified xsi:type="dcterms:W3CDTF">2020-02-22T11:59:46Z</dcterms:modified>
</cp:coreProperties>
</file>