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55880</wp:posOffset>
            </wp:positionV>
            <wp:extent cx="162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81280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8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3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ind w:left="4960"/>
        <w:spacing w:after="0" w:line="233" w:lineRule="auto"/>
        <w:rPr>
          <w:sz w:val="20"/>
          <w:szCs w:val="20"/>
          <w:color w:val="auto"/>
        </w:rPr>
      </w:pPr>
      <w:r>
        <w:rPr>
          <w:rFonts w:ascii="Times New Roman" w:cs="Times New Roman" w:eastAsia="Times New Roman" w:hAnsi="Times New Roman"/>
          <w:sz w:val="22"/>
          <w:szCs w:val="22"/>
          <w:color w:val="auto"/>
        </w:rPr>
        <w:t>August 7, 2025</w:t>
      </w:r>
    </w:p>
    <w:p>
      <w:pPr>
        <w:jc w:val="center"/>
        <w:spacing w:after="0" w:line="236" w:lineRule="auto"/>
        <w:rPr>
          <w:sz w:val="20"/>
          <w:szCs w:val="20"/>
          <w:color w:val="auto"/>
        </w:rPr>
      </w:pPr>
      <w:r>
        <w:rPr>
          <w:rFonts w:ascii="Times New Roman" w:cs="Times New Roman" w:eastAsia="Times New Roman" w:hAnsi="Times New Roman"/>
          <w:sz w:val="22"/>
          <w:szCs w:val="22"/>
          <w:b w:val="1"/>
          <w:bCs w:val="1"/>
          <w:color w:val="auto"/>
        </w:rPr>
        <w:t>Date of Report</w:t>
      </w: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64770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Arrowhead Pharmaceuticals,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55880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6"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2040" w:type="dxa"/>
            <w:vAlign w:val="bottom"/>
          </w:tcPr>
          <w:p>
            <w:pPr>
              <w:jc w:val="center"/>
              <w:ind w:right="462"/>
              <w:spacing w:after="0"/>
              <w:rPr>
                <w:sz w:val="20"/>
                <w:szCs w:val="20"/>
                <w:color w:val="auto"/>
              </w:rPr>
            </w:pPr>
            <w:r>
              <w:rPr>
                <w:rFonts w:ascii="Times New Roman" w:cs="Times New Roman" w:eastAsia="Times New Roman" w:hAnsi="Times New Roman"/>
                <w:sz w:val="18"/>
                <w:szCs w:val="18"/>
                <w:color w:val="auto"/>
              </w:rPr>
              <w:t>Delaware</w:t>
            </w:r>
          </w:p>
        </w:tc>
        <w:tc>
          <w:tcPr>
            <w:tcW w:w="3760" w:type="dxa"/>
            <w:vAlign w:val="bottom"/>
            <w:gridSpan w:val="2"/>
          </w:tcPr>
          <w:p>
            <w:pPr>
              <w:jc w:val="center"/>
              <w:ind w:left="1097"/>
              <w:spacing w:after="0"/>
              <w:rPr>
                <w:sz w:val="20"/>
                <w:szCs w:val="20"/>
                <w:color w:val="auto"/>
              </w:rPr>
            </w:pPr>
            <w:r>
              <w:rPr>
                <w:rFonts w:ascii="Times New Roman" w:cs="Times New Roman" w:eastAsia="Times New Roman" w:hAnsi="Times New Roman"/>
                <w:sz w:val="18"/>
                <w:szCs w:val="18"/>
                <w:color w:val="auto"/>
                <w:w w:val="99"/>
              </w:rPr>
              <w:t>001-38042</w:t>
            </w:r>
          </w:p>
        </w:tc>
        <w:tc>
          <w:tcPr>
            <w:tcW w:w="1320" w:type="dxa"/>
            <w:vAlign w:val="bottom"/>
          </w:tcPr>
          <w:p>
            <w:pPr>
              <w:spacing w:after="0"/>
              <w:rPr>
                <w:sz w:val="20"/>
                <w:szCs w:val="20"/>
                <w:color w:val="auto"/>
              </w:rPr>
            </w:pP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8"/>
                <w:szCs w:val="18"/>
                <w:color w:val="auto"/>
              </w:rPr>
              <w:t>46-0408024</w:t>
            </w:r>
          </w:p>
        </w:tc>
      </w:tr>
      <w:tr>
        <w:trPr>
          <w:trHeight w:val="180"/>
        </w:trPr>
        <w:tc>
          <w:tcPr>
            <w:tcW w:w="2040" w:type="dxa"/>
            <w:vAlign w:val="bottom"/>
          </w:tcPr>
          <w:p>
            <w:pPr>
              <w:jc w:val="center"/>
              <w:ind w:right="462"/>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1200" w:type="dxa"/>
            <w:vAlign w:val="bottom"/>
          </w:tcPr>
          <w:p>
            <w:pPr>
              <w:spacing w:after="0"/>
              <w:rPr>
                <w:sz w:val="15"/>
                <w:szCs w:val="15"/>
                <w:color w:val="auto"/>
              </w:rPr>
            </w:pPr>
          </w:p>
        </w:tc>
        <w:tc>
          <w:tcPr>
            <w:tcW w:w="388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color w:val="auto"/>
              </w:rPr>
              <w:t>(Commission</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040" w:type="dxa"/>
            <w:vAlign w:val="bottom"/>
          </w:tcPr>
          <w:p>
            <w:pPr>
              <w:jc w:val="center"/>
              <w:ind w:right="462"/>
              <w:spacing w:after="0"/>
              <w:rPr>
                <w:sz w:val="20"/>
                <w:szCs w:val="20"/>
                <w:color w:val="auto"/>
              </w:rPr>
            </w:pPr>
            <w:r>
              <w:rPr>
                <w:rFonts w:ascii="Times New Roman" w:cs="Times New Roman" w:eastAsia="Times New Roman" w:hAnsi="Times New Roman"/>
                <w:sz w:val="14"/>
                <w:szCs w:val="14"/>
                <w:color w:val="auto"/>
              </w:rPr>
              <w:t>of incorporation)</w:t>
            </w:r>
          </w:p>
        </w:tc>
        <w:tc>
          <w:tcPr>
            <w:tcW w:w="1200" w:type="dxa"/>
            <w:vAlign w:val="bottom"/>
          </w:tcPr>
          <w:p>
            <w:pPr>
              <w:spacing w:after="0"/>
              <w:rPr>
                <w:sz w:val="16"/>
                <w:szCs w:val="16"/>
                <w:color w:val="auto"/>
              </w:rPr>
            </w:pPr>
          </w:p>
        </w:tc>
        <w:tc>
          <w:tcPr>
            <w:tcW w:w="388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color w:val="auto"/>
              </w:rPr>
              <w:t>File Number)</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09"/>
        </w:trPr>
        <w:tc>
          <w:tcPr>
            <w:tcW w:w="2040" w:type="dxa"/>
            <w:vAlign w:val="bottom"/>
          </w:tcPr>
          <w:p>
            <w:pPr>
              <w:spacing w:after="0"/>
              <w:rPr>
                <w:sz w:val="24"/>
                <w:szCs w:val="24"/>
                <w:color w:val="auto"/>
              </w:rPr>
            </w:pPr>
          </w:p>
        </w:tc>
        <w:tc>
          <w:tcPr>
            <w:tcW w:w="50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177 E. Colorado Blvd, Suite 700, Pasadena, CA 91105</w:t>
            </w:r>
          </w:p>
        </w:tc>
        <w:tc>
          <w:tcPr>
            <w:tcW w:w="1700" w:type="dxa"/>
            <w:vAlign w:val="bottom"/>
          </w:tcPr>
          <w:p>
            <w:pPr>
              <w:spacing w:after="0"/>
              <w:rPr>
                <w:sz w:val="24"/>
                <w:szCs w:val="24"/>
                <w:color w:val="auto"/>
              </w:rPr>
            </w:pPr>
          </w:p>
        </w:tc>
      </w:tr>
      <w:tr>
        <w:trPr>
          <w:trHeight w:val="168"/>
        </w:trPr>
        <w:tc>
          <w:tcPr>
            <w:tcW w:w="2040" w:type="dxa"/>
            <w:vAlign w:val="bottom"/>
          </w:tcPr>
          <w:p>
            <w:pPr>
              <w:spacing w:after="0"/>
              <w:rPr>
                <w:sz w:val="14"/>
                <w:szCs w:val="14"/>
                <w:color w:val="auto"/>
              </w:rPr>
            </w:pPr>
          </w:p>
        </w:tc>
        <w:tc>
          <w:tcPr>
            <w:tcW w:w="5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4"/>
                <w:szCs w:val="14"/>
                <w:color w:val="auto"/>
              </w:rPr>
            </w:pPr>
          </w:p>
        </w:tc>
      </w:tr>
      <w:tr>
        <w:trPr>
          <w:trHeight w:val="210"/>
        </w:trPr>
        <w:tc>
          <w:tcPr>
            <w:tcW w:w="2040" w:type="dxa"/>
            <w:vAlign w:val="bottom"/>
          </w:tcPr>
          <w:p>
            <w:pPr>
              <w:spacing w:after="0"/>
              <w:rPr>
                <w:sz w:val="18"/>
                <w:szCs w:val="18"/>
                <w:color w:val="auto"/>
              </w:rPr>
            </w:pPr>
          </w:p>
        </w:tc>
        <w:tc>
          <w:tcPr>
            <w:tcW w:w="3760" w:type="dxa"/>
            <w:vAlign w:val="bottom"/>
            <w:gridSpan w:val="2"/>
          </w:tcPr>
          <w:p>
            <w:pPr>
              <w:jc w:val="center"/>
              <w:ind w:left="1117"/>
              <w:spacing w:after="0"/>
              <w:rPr>
                <w:sz w:val="20"/>
                <w:szCs w:val="20"/>
                <w:color w:val="auto"/>
              </w:rPr>
            </w:pPr>
            <w:r>
              <w:rPr>
                <w:rFonts w:ascii="Times New Roman" w:cs="Times New Roman" w:eastAsia="Times New Roman" w:hAnsi="Times New Roman"/>
                <w:sz w:val="18"/>
                <w:szCs w:val="18"/>
                <w:color w:val="auto"/>
                <w:w w:val="99"/>
              </w:rPr>
              <w:t>(626) 304-3400</w:t>
            </w: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0"/>
        </w:trPr>
        <w:tc>
          <w:tcPr>
            <w:tcW w:w="2040" w:type="dxa"/>
            <w:vAlign w:val="bottom"/>
          </w:tcPr>
          <w:p>
            <w:pPr>
              <w:spacing w:after="0"/>
              <w:rPr>
                <w:sz w:val="16"/>
                <w:szCs w:val="16"/>
                <w:color w:val="auto"/>
              </w:rPr>
            </w:pPr>
          </w:p>
        </w:tc>
        <w:tc>
          <w:tcPr>
            <w:tcW w:w="5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91"/>
        </w:trPr>
        <w:tc>
          <w:tcPr>
            <w:tcW w:w="2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1700" w:type="dxa"/>
            <w:vAlign w:val="bottom"/>
          </w:tcPr>
          <w:p>
            <w:pPr>
              <w:spacing w:after="0"/>
              <w:rPr>
                <w:sz w:val="7"/>
                <w:szCs w:val="7"/>
                <w:color w:val="auto"/>
              </w:rPr>
            </w:pPr>
          </w:p>
        </w:tc>
      </w:tr>
    </w:tbl>
    <w:p>
      <w:pPr>
        <w:spacing w:after="0" w:line="252" w:lineRule="exact"/>
        <w:rPr>
          <w:sz w:val="24"/>
          <w:szCs w:val="24"/>
          <w:color w:val="auto"/>
        </w:rPr>
      </w:pPr>
    </w:p>
    <w:p>
      <w:pPr>
        <w:ind w:right="680"/>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 (c) under the Exchange Act (17 CFR 240.13e-4(c))</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3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20" w:type="dxa"/>
            <w:vAlign w:val="bottom"/>
          </w:tcPr>
          <w:p>
            <w:pPr>
              <w:spacing w:after="0"/>
              <w:rPr>
                <w:sz w:val="16"/>
                <w:szCs w:val="16"/>
                <w:color w:val="auto"/>
              </w:rPr>
            </w:pPr>
          </w:p>
        </w:tc>
      </w:tr>
      <w:tr>
        <w:trPr>
          <w:trHeight w:val="216"/>
        </w:trPr>
        <w:tc>
          <w:tcPr>
            <w:tcW w:w="372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2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186"/>
        </w:trPr>
        <w:tc>
          <w:tcPr>
            <w:tcW w:w="372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ARWR</w:t>
            </w:r>
          </w:p>
        </w:tc>
        <w:tc>
          <w:tcPr>
            <w:tcW w:w="372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100" w:lineRule="exact"/>
        <w:rPr>
          <w:sz w:val="24"/>
          <w:szCs w:val="24"/>
          <w:color w:val="auto"/>
        </w:rPr>
      </w:pPr>
    </w:p>
    <w:p>
      <w:pPr>
        <w:ind w:right="52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7, 2025, Arrowhead Pharmaceuticals, Inc. announced and commented on its fiscal 2025 financial results for the period ended March 31, 2025.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herewith as Exhibit 99.1.</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 to this Current Report on Form 8-K.</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371"/>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August 7, 2025.</w:t>
            </w:r>
          </w:p>
        </w:tc>
      </w:tr>
      <w:tr>
        <w:trPr>
          <w:trHeight w:val="20"/>
        </w:trPr>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r>
      <w:tr>
        <w:trPr>
          <w:trHeight w:val="547"/>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tags are embedded within the Inline XBRL document).</w:t>
            </w:r>
          </w:p>
        </w:tc>
      </w:tr>
      <w:tr>
        <w:trPr>
          <w:trHeight w:val="1019"/>
        </w:trPr>
        <w:tc>
          <w:tcPr>
            <w:tcW w:w="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ARROWHEAD PHARMACEUTICALS, INC.</w:t>
      </w:r>
    </w:p>
    <w:p>
      <w:pPr>
        <w:spacing w:after="0" w:line="306"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Apel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054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4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Daniel Apel</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92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11430</wp:posOffset>
            </wp:positionV>
            <wp:extent cx="1714500" cy="574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7, 2025</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Reports Fiscal 2025 Third Quarter Results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and Webcast Today, August 7, 2025 at 4:30 p.m. ET</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PASADENA, Calif., August 7, 2025 </w:t>
      </w:r>
      <w:r>
        <w:rPr>
          <w:rFonts w:ascii="Times New Roman" w:cs="Times New Roman" w:eastAsia="Times New Roman" w:hAnsi="Times New Roman"/>
          <w:sz w:val="18"/>
          <w:szCs w:val="18"/>
          <w:color w:val="auto"/>
        </w:rPr>
        <w:t>— Arrowhead Pharmaceuticals, Inc. (NASDAQ: ARWR) today announced financial results for its fiscal 2025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June 30, 2025. The Company is hosting a conference call today, August 7, 2025, at 4:30 p.m. ET to discuss the results.</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“Arrowhead continues to achieve strong execution in discovery, clinical and regulatory, and business development. Our pipeline has become quite mature, with four Arrowhead discovered candidates currently in pivotal Phase 3 studies. In addition, our commercial buildout is designed to make us launch ready on day one, should plozasiran receive regulatory approval on the November 18, 2025, PDUFA date,” said Christopher Anzalone, Ph.D., President and CEO at Arrowhead. “We continue to maintain a strong balance sheet, which we believe gives us the financial resources to move multiple innovative new medicines through the clinical and regulatory process and ultimately get them to the patients who need them.”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Recent Events</w:t>
      </w:r>
    </w:p>
    <w:p>
      <w:pPr>
        <w:spacing w:after="0" w:line="121" w:lineRule="exact"/>
        <w:rPr>
          <w:sz w:val="20"/>
          <w:szCs w:val="20"/>
          <w:color w:val="auto"/>
        </w:rPr>
      </w:pPr>
    </w:p>
    <w:p>
      <w:pPr>
        <w:jc w:val="both"/>
        <w:ind w:left="660" w:hanging="328"/>
        <w:spacing w:after="0" w:line="25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signing of an asset purchase agreement between Sanofi and Visirna Therapeutics, a majority-owned subsidiary of Arrowhead created to develop and commercialize four of Arrowhead’s investigational cardiometabolic candidates in Greater China. Summary terms of the agreement include:</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1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Visirna will receive an upfront payment of $130 million from Sanofi. In addition, Visirna will be eligible to receive further milestone payments of up to $265 million upon approval of plozasiran across various indications in mainland China.</w:t>
      </w:r>
    </w:p>
    <w:p>
      <w:pPr>
        <w:ind w:left="1300" w:hanging="320"/>
        <w:spacing w:after="0" w:line="250" w:lineRule="auto"/>
        <w:tabs>
          <w:tab w:leader="none" w:pos="133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will receive an exclusive license to develop and commercialize investigational plozasiran in Greater China from Visirna Therapeutics, offering potential treatment to people living with elevated triglycerides.</w:t>
      </w: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a $100 million milestone payment from Sarepta Therapeutics when Arrowhead reached the first of two prespecified enrollment targets and subsequent authorization to dose escalate in a Phase 1/2 clinical study of ARO-DM1, an investigational RNA interference (RNAi) therapeutic for the treatment of type 1 myotonic dystrophy (DM1), the most common adult-onset muscular dystrophy. Arrowhead currently expects to achieve the second enrollment target by the end of 2025, which would trigger an additional $200 million milestone payment from Sarepta.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3"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Completed enrollment in investigational plozasiran clinical studies SHASTA-3, SHASTA-4, and MUIR-3, the company’s global Phase 3 clinical studies designed to support regulatory submissions for marketing approval in the treatment of severe hypertriglyceridemia. Arrowhead anticipates completing the primary portion of these studies in mid-2026 with topline data expected shortly thereafter and planned submissions for regulatory review and potential approval to follow. The company previously submitted a New Drug Application (NDA) for plozasiran based on positive Phase 3 PALISADE study results in patients with familial chylomicronemia syndrome, which the U.S. FDA has accepted with a Prescription Drug User Fee Act (PDUFA) action date set for November 18, 2025.</w:t>
      </w:r>
    </w:p>
    <w:p>
      <w:pPr>
        <w:sectPr>
          <w:pgSz w:w="11900" w:h="16838" w:orient="portrait"/>
          <w:cols w:equalWidth="0" w:num="1">
            <w:col w:w="11240"/>
          </w:cols>
          <w:pgMar w:left="320" w:top="927" w:right="339" w:bottom="1440" w:gutter="0" w:footer="0" w:header="0"/>
        </w:sectPr>
      </w:pPr>
    </w:p>
    <w:bookmarkStart w:id="4" w:name="page5"/>
    <w:bookmarkEnd w:id="4"/>
    <w:p>
      <w:pPr>
        <w:jc w:val="both"/>
        <w:ind w:left="328" w:hanging="328"/>
        <w:spacing w:after="0" w:line="255"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 the first subject in the YOSEMITE Phase 3 clinical trial of zodasiran, the company’s investigational RNAi therapeutic being developed as a potential treatment for homozygous familial hypercholesterolemia (HoFH), a rare genetic condition that leads to severely elevated LDL-cholesterol and early onset cardiovascular disease. Zodasiran is the fourth investigational RNAi-based candidate developed by Arrowhead to reach late-stage pivotal studies, after investigational drugs plozasiran, fazirsiran (licensed to Takeda) and olpasiran (licensed to Amgen).</w:t>
      </w:r>
    </w:p>
    <w:p>
      <w:pPr>
        <w:spacing w:after="0" w:line="2"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 the first subjects in a Phase 1/2a clinical trial of ARO-ALK7, the company’s investigational RNAi therapeutic being developed as a potential treatment for obesity. ARO-ALK7 is designed to intervene in a known pathway that signals the body to store fat in adipose tissue with a novel mechanism of action that may better preserve lean muscle mass compared to currently approved obesity therapies. The study initiates in otherwise healthy obese subjects using single and multiple escalating doses of ARO-ALK7 monotherapy and is expected to progress rapidly to investigate combinations of ARO-ALK7 with tirzepatide in obese patients with and without type 2 diabetes.</w:t>
      </w:r>
    </w:p>
    <w:p>
      <w:pPr>
        <w:sectPr>
          <w:pgSz w:w="11900" w:h="16838" w:orient="portrait"/>
          <w:cols w:equalWidth="0" w:num="1">
            <w:col w:w="10908"/>
          </w:cols>
          <w:pgMar w:left="652" w:top="9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Selected Fiscal 2025 Third Quarter Financial Results</w:t>
      </w: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ARROWHEAD PHARMACEUTICALS, INC.</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CONSOLIDATED CONDENSED FINANCIAL INFORMATION</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80"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 w:type="dxa"/>
            <w:vAlign w:val="bottom"/>
            <w:vMerge w:val="restart"/>
          </w:tcPr>
          <w:p>
            <w:pPr>
              <w:spacing w:after="0"/>
              <w:rPr>
                <w:sz w:val="3"/>
                <w:szCs w:val="3"/>
                <w:color w:val="auto"/>
              </w:rPr>
            </w:pPr>
          </w:p>
        </w:tc>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SUMMARY</w:t>
            </w:r>
          </w:p>
        </w:tc>
        <w:tc>
          <w:tcPr>
            <w:tcW w:w="5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00" w:type="dxa"/>
            <w:vAlign w:val="bottom"/>
            <w:vMerge w:val="continue"/>
          </w:tcPr>
          <w:p>
            <w:pPr>
              <w:spacing w:after="0"/>
              <w:rPr>
                <w:sz w:val="13"/>
                <w:szCs w:val="13"/>
                <w:color w:val="auto"/>
              </w:rPr>
            </w:pPr>
          </w:p>
        </w:tc>
        <w:tc>
          <w:tcPr>
            <w:tcW w:w="62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680" w:type="dxa"/>
            <w:vAlign w:val="bottom"/>
          </w:tcPr>
          <w:p>
            <w:pPr>
              <w:jc w:val="right"/>
              <w:ind w:right="88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jc w:val="right"/>
              <w:ind w:right="90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43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27,767</w:t>
            </w:r>
          </w:p>
        </w:tc>
        <w:tc>
          <w:tcPr>
            <w:tcW w:w="100" w:type="dxa"/>
            <w:vAlign w:val="bottom"/>
          </w:tcPr>
          <w:p>
            <w:pPr>
              <w:spacing w:after="0"/>
              <w:rPr>
                <w:sz w:val="21"/>
                <w:szCs w:val="21"/>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100" w:type="dxa"/>
            <w:vAlign w:val="bottom"/>
            <w:tcBorders>
              <w:bottom w:val="single" w:sz="8" w:color="CCEEFF"/>
            </w:tcBorders>
            <w:shd w:val="clear" w:color="auto" w:fill="CCEEFF"/>
          </w:tcPr>
          <w:p>
            <w:pPr>
              <w:spacing w:after="0"/>
              <w:rPr>
                <w:sz w:val="19"/>
                <w:szCs w:val="19"/>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5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162,368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152,431</w:t>
            </w:r>
          </w:p>
        </w:tc>
        <w:tc>
          <w:tcPr>
            <w:tcW w:w="0" w:type="dxa"/>
            <w:vAlign w:val="bottom"/>
          </w:tcPr>
          <w:p>
            <w:pPr>
              <w:spacing w:after="0"/>
              <w:rPr>
                <w:sz w:val="1"/>
                <w:szCs w:val="1"/>
                <w:color w:val="auto"/>
              </w:rPr>
            </w:pPr>
          </w:p>
        </w:tc>
      </w:tr>
      <w:tr>
        <w:trPr>
          <w:trHeight w:val="246"/>
        </w:trPr>
        <w:tc>
          <w:tcPr>
            <w:tcW w:w="100" w:type="dxa"/>
            <w:vAlign w:val="bottom"/>
            <w:shd w:val="clear" w:color="auto" w:fill="CCEEFF"/>
          </w:tcPr>
          <w:p>
            <w:pPr>
              <w:spacing w:after="0"/>
              <w:rPr>
                <w:sz w:val="21"/>
                <w:szCs w:val="21"/>
                <w:color w:val="auto"/>
              </w:rPr>
            </w:pPr>
          </w:p>
        </w:tc>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30,949</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23,710</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62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176,141</w:t>
            </w:r>
          </w:p>
        </w:tc>
        <w:tc>
          <w:tcPr>
            <w:tcW w:w="0" w:type="dxa"/>
            <w:vAlign w:val="bottom"/>
          </w:tcPr>
          <w:p>
            <w:pPr>
              <w:spacing w:after="0"/>
              <w:rPr>
                <w:sz w:val="1"/>
                <w:szCs w:val="1"/>
                <w:color w:val="auto"/>
              </w:rPr>
            </w:pPr>
          </w:p>
        </w:tc>
      </w:tr>
      <w:tr>
        <w:trPr>
          <w:trHeight w:val="246"/>
        </w:trPr>
        <w:tc>
          <w:tcPr>
            <w:tcW w:w="100" w:type="dxa"/>
            <w:vAlign w:val="bottom"/>
            <w:shd w:val="clear" w:color="auto" w:fill="CCEEFF"/>
          </w:tcPr>
          <w:p>
            <w:pPr>
              <w:spacing w:after="0"/>
              <w:rPr>
                <w:sz w:val="21"/>
                <w:szCs w:val="21"/>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5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(165,550)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(176,141)</w:t>
            </w:r>
          </w:p>
        </w:tc>
        <w:tc>
          <w:tcPr>
            <w:tcW w:w="0" w:type="dxa"/>
            <w:vAlign w:val="bottom"/>
          </w:tcPr>
          <w:p>
            <w:pPr>
              <w:spacing w:after="0"/>
              <w:rPr>
                <w:sz w:val="1"/>
                <w:szCs w:val="1"/>
                <w:color w:val="auto"/>
              </w:rPr>
            </w:pPr>
          </w:p>
        </w:tc>
      </w:tr>
      <w:tr>
        <w:trPr>
          <w:trHeight w:val="240"/>
        </w:trPr>
        <w:tc>
          <w:tcPr>
            <w:tcW w:w="100" w:type="dxa"/>
            <w:vAlign w:val="bottom"/>
            <w:tcBorders>
              <w:bottom w:val="single" w:sz="8" w:color="CCEEFF"/>
            </w:tcBorders>
          </w:tcPr>
          <w:p>
            <w:pPr>
              <w:spacing w:after="0"/>
              <w:rPr>
                <w:sz w:val="20"/>
                <w:szCs w:val="20"/>
                <w:color w:val="auto"/>
              </w:rPr>
            </w:pPr>
          </w:p>
        </w:tc>
        <w:tc>
          <w:tcPr>
            <w:tcW w:w="6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5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(13,539)</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0" w:type="dxa"/>
            <w:vAlign w:val="bottom"/>
          </w:tcPr>
          <w:p>
            <w:pPr>
              <w:spacing w:after="0"/>
              <w:rPr>
                <w:sz w:val="1"/>
                <w:szCs w:val="1"/>
                <w:color w:val="auto"/>
              </w:rPr>
            </w:pPr>
          </w:p>
        </w:tc>
      </w:tr>
      <w:tr>
        <w:trPr>
          <w:trHeight w:val="226"/>
        </w:trPr>
        <w:tc>
          <w:tcPr>
            <w:tcW w:w="10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 expense and noncontrolling interest</w:t>
            </w:r>
          </w:p>
        </w:tc>
        <w:tc>
          <w:tcPr>
            <w:tcW w:w="5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(173,977)</w:t>
            </w:r>
          </w:p>
        </w:tc>
        <w:tc>
          <w:tcPr>
            <w:tcW w:w="0" w:type="dxa"/>
            <w:vAlign w:val="bottom"/>
          </w:tcPr>
          <w:p>
            <w:pPr>
              <w:spacing w:after="0"/>
              <w:rPr>
                <w:sz w:val="1"/>
                <w:szCs w:val="1"/>
                <w:color w:val="auto"/>
              </w:rPr>
            </w:pPr>
          </w:p>
        </w:tc>
      </w:tr>
      <w:tr>
        <w:trPr>
          <w:trHeight w:val="240"/>
        </w:trPr>
        <w:tc>
          <w:tcPr>
            <w:tcW w:w="100" w:type="dxa"/>
            <w:vAlign w:val="bottom"/>
            <w:tcBorders>
              <w:bottom w:val="single" w:sz="8" w:color="CCEEFF"/>
            </w:tcBorders>
          </w:tcPr>
          <w:p>
            <w:pPr>
              <w:spacing w:after="0"/>
              <w:rPr>
                <w:sz w:val="20"/>
                <w:szCs w:val="20"/>
                <w:color w:val="auto"/>
              </w:rPr>
            </w:pPr>
          </w:p>
        </w:tc>
        <w:tc>
          <w:tcPr>
            <w:tcW w:w="6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5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10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including noncontrolling interest</w:t>
            </w:r>
          </w:p>
        </w:tc>
        <w:tc>
          <w:tcPr>
            <w:tcW w:w="5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(173,977)</w:t>
            </w:r>
          </w:p>
        </w:tc>
        <w:tc>
          <w:tcPr>
            <w:tcW w:w="0" w:type="dxa"/>
            <w:vAlign w:val="bottom"/>
          </w:tcPr>
          <w:p>
            <w:pPr>
              <w:spacing w:after="0"/>
              <w:rPr>
                <w:sz w:val="1"/>
                <w:szCs w:val="1"/>
                <w:color w:val="auto"/>
              </w:rPr>
            </w:pPr>
          </w:p>
        </w:tc>
      </w:tr>
      <w:tr>
        <w:trPr>
          <w:trHeight w:val="240"/>
        </w:trPr>
        <w:tc>
          <w:tcPr>
            <w:tcW w:w="100" w:type="dxa"/>
            <w:vAlign w:val="bottom"/>
            <w:tcBorders>
              <w:bottom w:val="single" w:sz="8" w:color="CCEEFF"/>
            </w:tcBorders>
          </w:tcPr>
          <w:p>
            <w:pPr>
              <w:spacing w:after="0"/>
              <w:rPr>
                <w:sz w:val="20"/>
                <w:szCs w:val="20"/>
                <w:color w:val="auto"/>
              </w:rPr>
            </w:pPr>
          </w:p>
        </w:tc>
        <w:tc>
          <w:tcPr>
            <w:tcW w:w="6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 net of tax</w:t>
            </w:r>
          </w:p>
        </w:tc>
        <w:tc>
          <w:tcPr>
            <w:tcW w:w="5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0" w:type="dxa"/>
            <w:vAlign w:val="bottom"/>
          </w:tcPr>
          <w:p>
            <w:pPr>
              <w:spacing w:after="0"/>
              <w:rPr>
                <w:sz w:val="1"/>
                <w:szCs w:val="1"/>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Arrowhead Pharmaceuticals, Inc.</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(175,241)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(170,793)</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CCEEFF"/>
          </w:tcPr>
          <w:p>
            <w:pPr>
              <w:spacing w:after="0"/>
              <w:rPr>
                <w:sz w:val="21"/>
                <w:szCs w:val="21"/>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per share attributable to Arrowhead Pharmaceuticals, Inc. - Diluted</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Weighted-average shares used in calculating - Diluted</w:t>
            </w:r>
          </w:p>
        </w:tc>
        <w:tc>
          <w:tcPr>
            <w:tcW w:w="5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139,039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124,199</w:t>
            </w:r>
          </w:p>
        </w:tc>
        <w:tc>
          <w:tcPr>
            <w:tcW w:w="0" w:type="dxa"/>
            <w:vAlign w:val="bottom"/>
          </w:tcPr>
          <w:p>
            <w:pPr>
              <w:spacing w:after="0"/>
              <w:rPr>
                <w:sz w:val="1"/>
                <w:szCs w:val="1"/>
                <w:color w:val="auto"/>
              </w:rPr>
            </w:pPr>
          </w:p>
        </w:tc>
      </w:tr>
    </w:tbl>
    <w:p>
      <w:pPr>
        <w:sectPr>
          <w:pgSz w:w="11900" w:h="16838" w:orient="portrait"/>
          <w:cols w:equalWidth="0" w:num="1">
            <w:col w:w="11060"/>
          </w:cols>
          <w:pgMar w:left="320" w:top="927" w:right="51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FINANCIAL POSITION SUMMARY</w:t>
            </w:r>
          </w:p>
        </w:tc>
        <w:tc>
          <w:tcPr>
            <w:tcW w:w="26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3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6"/>
        </w:trPr>
        <w:tc>
          <w:tcPr>
            <w:tcW w:w="100" w:type="dxa"/>
            <w:vAlign w:val="bottom"/>
          </w:tcPr>
          <w:p>
            <w:pPr>
              <w:spacing w:after="0"/>
              <w:rPr>
                <w:sz w:val="15"/>
                <w:szCs w:val="15"/>
                <w:color w:val="auto"/>
              </w:rPr>
            </w:pPr>
          </w:p>
        </w:tc>
        <w:tc>
          <w:tcPr>
            <w:tcW w:w="2660" w:type="dxa"/>
            <w:vAlign w:val="bottom"/>
            <w:tcBorders>
              <w:top w:val="single" w:sz="8" w:color="auto"/>
            </w:tcBorders>
          </w:tcPr>
          <w:p>
            <w:pPr>
              <w:spacing w:after="0"/>
              <w:rPr>
                <w:sz w:val="15"/>
                <w:szCs w:val="15"/>
                <w:color w:val="auto"/>
              </w:rPr>
            </w:pPr>
          </w:p>
        </w:tc>
        <w:tc>
          <w:tcPr>
            <w:tcW w:w="5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82"/>
        </w:trPr>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129,793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102,685</w:t>
            </w:r>
          </w:p>
        </w:tc>
      </w:tr>
      <w:tr>
        <w:trPr>
          <w:trHeight w:val="240"/>
        </w:trPr>
        <w:tc>
          <w:tcPr>
            <w:tcW w:w="7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Available-for-sale securities, at fair value</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770,579</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578,276</w:t>
            </w:r>
          </w:p>
        </w:tc>
      </w:tr>
      <w:tr>
        <w:trPr>
          <w:trHeight w:val="220"/>
        </w:trPr>
        <w:tc>
          <w:tcPr>
            <w:tcW w:w="7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resources (Cash, cash equivalents and restricted cash and Available-for-sale securities, at fair value)</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900,372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680,961</w:t>
            </w:r>
          </w:p>
        </w:tc>
      </w:tr>
      <w:tr>
        <w:trPr>
          <w:trHeight w:val="240"/>
        </w:trPr>
        <w:tc>
          <w:tcPr>
            <w:tcW w:w="7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current and long-term assets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480,240</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458,841</w:t>
            </w: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1,380,612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1,139,802</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9"/>
        </w:trPr>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related to the sale of future royalties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360,254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341,361</w:t>
            </w:r>
          </w:p>
        </w:tc>
      </w:tr>
      <w:tr>
        <w:trPr>
          <w:trHeight w:val="24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240,332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393,183</w:t>
            </w:r>
          </w:p>
        </w:tc>
      </w:tr>
      <w:tr>
        <w:trPr>
          <w:trHeight w:val="226"/>
        </w:trPr>
        <w:tc>
          <w:tcPr>
            <w:tcW w:w="7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22,979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214,195</w:t>
            </w:r>
          </w:p>
        </w:tc>
      </w:tr>
      <w:tr>
        <w:trPr>
          <w:trHeight w:val="33"/>
        </w:trPr>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860,806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948,739</w:t>
            </w:r>
          </w:p>
        </w:tc>
      </w:tr>
      <w:tr>
        <w:trPr>
          <w:trHeight w:val="237"/>
        </w:trPr>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23"/>
        </w:trPr>
        <w:tc>
          <w:tcPr>
            <w:tcW w:w="7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Arrowhead Pharmaceuticals, Inc. 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522,313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185,444</w:t>
            </w:r>
          </w:p>
        </w:tc>
      </w:tr>
      <w:tr>
        <w:trPr>
          <w:trHeight w:val="21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w:t>
            </w:r>
          </w:p>
        </w:tc>
      </w:tr>
      <w:tr>
        <w:trPr>
          <w:trHeight w:val="33"/>
        </w:trPr>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Noncontrolling Interest and Stockholders'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519,806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191,063</w:t>
            </w:r>
          </w:p>
        </w:tc>
      </w:tr>
      <w:tr>
        <w:trPr>
          <w:trHeight w:val="208"/>
        </w:trPr>
        <w:tc>
          <w:tcPr>
            <w:tcW w:w="100" w:type="dxa"/>
            <w:vAlign w:val="bottom"/>
          </w:tcPr>
          <w:p>
            <w:pPr>
              <w:spacing w:after="0"/>
              <w:rPr>
                <w:sz w:val="18"/>
                <w:szCs w:val="18"/>
                <w:color w:val="auto"/>
              </w:rPr>
            </w:pP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Noncontrolling Interest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1,380,612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1,139,802</w:t>
            </w:r>
          </w:p>
        </w:tc>
      </w:tr>
      <w:tr>
        <w:trPr>
          <w:trHeight w:val="22"/>
        </w:trPr>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2"/>
        </w:trPr>
        <w:tc>
          <w:tcPr>
            <w:tcW w:w="7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Shares Outstanding</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138,144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124,376</w:t>
            </w:r>
          </w:p>
        </w:tc>
      </w:tr>
      <w:tr>
        <w:trPr>
          <w:trHeight w:val="31"/>
        </w:trPr>
        <w:tc>
          <w:tcPr>
            <w:tcW w:w="1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and Details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Investors may access a live audio webcast on the </w:t>
      </w:r>
      <w:r>
        <w:rPr>
          <w:rFonts w:ascii="Times New Roman" w:cs="Times New Roman" w:eastAsia="Times New Roman" w:hAnsi="Times New Roman"/>
          <w:sz w:val="18"/>
          <w:szCs w:val="18"/>
          <w:u w:val="single" w:color="auto"/>
          <w:color w:val="auto"/>
        </w:rPr>
        <w:t>Events and Presentations</w:t>
      </w:r>
      <w:r>
        <w:rPr>
          <w:rFonts w:ascii="Times New Roman" w:cs="Times New Roman" w:eastAsia="Times New Roman" w:hAnsi="Times New Roman"/>
          <w:sz w:val="18"/>
          <w:szCs w:val="18"/>
          <w:color w:val="auto"/>
        </w:rPr>
        <w:t xml:space="preserve"> page under the Investors section of the Arrowhead website. A replay of the webcast will be available approximately two hours after the conclusion of the call.</w:t>
      </w:r>
    </w:p>
    <w:p>
      <w:pPr>
        <w:spacing w:after="0" w:line="17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For analysts that wish to participate in the conference call, please register at </w:t>
      </w:r>
      <w:r>
        <w:rPr>
          <w:rFonts w:ascii="Times New Roman" w:cs="Times New Roman" w:eastAsia="Times New Roman" w:hAnsi="Times New Roman"/>
          <w:sz w:val="18"/>
          <w:szCs w:val="18"/>
          <w:u w:val="single" w:color="auto"/>
          <w:color w:val="auto"/>
        </w:rPr>
        <w:t>https://register-conf.media-server.com/register/BI3955ca6732974874b0bc0ac323811a7f.</w:t>
      </w:r>
      <w:r>
        <w:rPr>
          <w:rFonts w:ascii="Times New Roman" w:cs="Times New Roman" w:eastAsia="Times New Roman" w:hAnsi="Times New Roman"/>
          <w:sz w:val="18"/>
          <w:szCs w:val="18"/>
          <w:color w:val="auto"/>
        </w:rPr>
        <w:t xml:space="preserve"> Once registered, you will receive the dial-in number and a personalized PIN code that will be required to access the call.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Arrowhead Pharmaceuticals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Arrowhead Pharmaceuticals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please visit www.arrowheadpharma.com, or follow us on X (formerly Twitter) at </w:t>
      </w:r>
      <w:r>
        <w:rPr>
          <w:rFonts w:ascii="Times New Roman" w:cs="Times New Roman" w:eastAsia="Times New Roman" w:hAnsi="Times New Roman"/>
          <w:sz w:val="18"/>
          <w:szCs w:val="18"/>
          <w:u w:val="single" w:color="auto"/>
          <w:color w:val="auto"/>
        </w:rPr>
        <w:t>@ArrowheadPharma</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highlight w:val="white"/>
        </w:rPr>
        <w:t>LinkedIn</w:t>
      </w:r>
      <w:r>
        <w:rPr>
          <w:rFonts w:ascii="Times New Roman" w:cs="Times New Roman" w:eastAsia="Times New Roman" w:hAnsi="Times New Roman"/>
          <w:sz w:val="18"/>
          <w:szCs w:val="18"/>
          <w:color w:val="auto"/>
          <w:highlight w:val="white"/>
        </w:rPr>
        <w:t>, Facebook,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highlight w:val="white"/>
        </w:rPr>
        <w:t>. To be added to the Company's email list and receive news directly, please visit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highlight w:val="white"/>
        </w:rPr>
        <w:t>http://ir.arrowheadpharma.com/email-alerts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6446520</wp:posOffset>
            </wp:positionH>
            <wp:positionV relativeFrom="paragraph">
              <wp:posOffset>-185420</wp:posOffset>
            </wp:positionV>
            <wp:extent cx="441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19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2540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This news release contains forward-looking statements within the meaning of the "safe harbor" provisions of the Private Securities Litigation Reform Act of 1995. Any statements contained in this release except for historical information may be deemed to be forward-looking statements. Without limiting the generality of the foregoing, words such as “may,” “will,” “expect,” “believe,” “anticipate,” “hope,” “intend,” “plan,” “project,” “could,” “estimate,” “continue,” “target,” “forecast” or “continue” or the negative of these words or other variations thereof or comparable terminology are intended to identify such forward-looking statements. In addition, any statements that refer to projections of our future financial performance, trends in our business, expectations for our product pipeline or product candidates, including</w:t>
      </w:r>
    </w:p>
    <w:p>
      <w:pPr>
        <w:sectPr>
          <w:pgSz w:w="11900" w:h="16838" w:orient="portrait"/>
          <w:cols w:equalWidth="0" w:num="1">
            <w:col w:w="11240"/>
          </w:cols>
          <w:pgMar w:left="320" w:top="1076" w:right="339" w:bottom="1440" w:gutter="0" w:footer="0" w:header="0"/>
        </w:sectPr>
      </w:pPr>
    </w:p>
    <w:bookmarkStart w:id="7" w:name="page8"/>
    <w:bookmarkEnd w:id="7"/>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anticipated regulatory submissions and clinical program results, prospects or benefits of our collaborations with other companies, or other characterizations of future events or circumstances are forward-looking statements. These forward-looking statements include, but are not limited to, statements about the initiation, timing, progress and results of our preclinical studies and clinical trials, including the timing of achievement of the next ARO-DM1 milestone including the timing of achievement of the next ARO-DM1 milestone, and our research and development programs; our expectations regarding the potential benefits of the partnership, licensing and/or collaboration arrangements and other strategic arrangements and transactions we have entered into or may enter into in the future; our beliefs and expectations regarding milestone, royalty or other payments that could be due to or from third parties under existing agreements; including our ability to achieve such milestones on projected timelines (if at all) and receive timely payment if milestones are achieved including our ability to achieve such milestones on projected timelines (if at all) and receive timely payment if milestones are</w:t>
      </w:r>
    </w:p>
    <w:p>
      <w:pPr>
        <w:spacing w:after="0" w:line="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achieved </w:t>
      </w:r>
      <w:r>
        <w:rPr>
          <w:rFonts w:ascii="Arial" w:cs="Arial" w:eastAsia="Arial" w:hAnsi="Arial"/>
          <w:sz w:val="21"/>
          <w:szCs w:val="21"/>
          <w:i w:val="1"/>
          <w:iCs w:val="1"/>
          <w:color w:val="auto"/>
        </w:rPr>
        <w:t>;</w:t>
      </w:r>
      <w:r>
        <w:rPr>
          <w:rFonts w:ascii="Times New Roman" w:cs="Times New Roman" w:eastAsia="Times New Roman" w:hAnsi="Times New Roman"/>
          <w:sz w:val="18"/>
          <w:szCs w:val="18"/>
          <w:i w:val="1"/>
          <w:iCs w:val="1"/>
          <w:color w:val="auto"/>
        </w:rPr>
        <w:t xml:space="preserve"> and our estimates regarding future revenues, research and development expenses, capital requirements and payments to third parties. These statements are based upon our current expectations and speak only as of the date hereof. Our actual results may differ materially and adversely from those expressed in any forward-looking statements as a result of numerous factors and uncertainties, including the impact of the ongoing COVID-19 pandemic on our business, the safety and efficacy of our product candidates, decisions of regulatory authorities and the timing thereof, the duration and impact of regulatory delays in our clinical programs, our ability to finance our operations, the likelihood and timing of the receipt of future milestone and licensing fees, the future success of our scientific studies, our ability to successfully develop and commercialize drug candidates, the timing for starting and completing clinical trials, rapid technological change in our markets, the enforcement of our intellectual property rights, and the other risks and uncertainties described in our most recent Annual Report on Form 10-K, subsequent Quarterly Reports on Form 10-Q and other documents filed with the Securities and Exchange Commission from time to time. We disclaim any intention disclaim any intention to update or revise forward-looking statements to reflect new events or circumstances.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Arrowhead Pharmaceuticals,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 Anzalone, CFA</w:t>
      </w:r>
    </w:p>
    <w:p>
      <w:pPr>
        <w:spacing w:after="0" w:line="234" w:lineRule="auto"/>
        <w:rPr>
          <w:sz w:val="20"/>
          <w:szCs w:val="20"/>
          <w:color w:val="auto"/>
        </w:rPr>
      </w:pPr>
      <w:r>
        <w:rPr>
          <w:rFonts w:ascii="Times New Roman" w:cs="Times New Roman" w:eastAsia="Times New Roman" w:hAnsi="Times New Roman"/>
          <w:sz w:val="18"/>
          <w:szCs w:val="18"/>
          <w:color w:val="auto"/>
        </w:rPr>
        <w:t>626-304-3400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ir@arrowheadpharma.com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rPr>
          <w:sz w:val="20"/>
          <w:szCs w:val="20"/>
          <w:color w:val="auto"/>
        </w:rPr>
      </w:pPr>
      <w:r>
        <w:rPr>
          <w:rFonts w:ascii="Times New Roman" w:cs="Times New Roman" w:eastAsia="Times New Roman" w:hAnsi="Times New Roman"/>
          <w:sz w:val="18"/>
          <w:szCs w:val="18"/>
          <w:color w:val="auto"/>
        </w:rPr>
        <w:t>Brian Ritchie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212-915-2578</w:t>
      </w:r>
    </w:p>
    <w:p>
      <w:pPr>
        <w:spacing w:after="0"/>
        <w:rPr>
          <w:sz w:val="20"/>
          <w:szCs w:val="20"/>
          <w:color w:val="auto"/>
        </w:rPr>
      </w:pPr>
      <w:r>
        <w:rPr>
          <w:rFonts w:ascii="Times New Roman" w:cs="Times New Roman" w:eastAsia="Times New Roman" w:hAnsi="Times New Roman"/>
          <w:sz w:val="18"/>
          <w:szCs w:val="18"/>
          <w:u w:val="single" w:color="auto"/>
          <w:color w:val="auto"/>
        </w:rPr>
        <w:t>britchie@lifesciadvisors.com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Communications, LLC</w:t>
      </w:r>
    </w:p>
    <w:p>
      <w:pPr>
        <w:spacing w:after="0" w:line="234" w:lineRule="auto"/>
        <w:rPr>
          <w:sz w:val="20"/>
          <w:szCs w:val="20"/>
          <w:color w:val="auto"/>
        </w:rPr>
      </w:pPr>
      <w:r>
        <w:rPr>
          <w:rFonts w:ascii="Times New Roman" w:cs="Times New Roman" w:eastAsia="Times New Roman" w:hAnsi="Times New Roman"/>
          <w:sz w:val="18"/>
          <w:szCs w:val="18"/>
          <w:color w:val="auto"/>
        </w:rPr>
        <w:t>Kendy Guarinoni, Ph.D.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724-910-9389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kguarinoni@lifescicomms.com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Source: </w:t>
      </w:r>
      <w:r>
        <w:rPr>
          <w:rFonts w:ascii="Times New Roman" w:cs="Times New Roman" w:eastAsia="Times New Roman" w:hAnsi="Times New Roman"/>
          <w:sz w:val="18"/>
          <w:szCs w:val="18"/>
          <w:color w:val="auto"/>
        </w:rPr>
        <w:t>Arrowhead Pharmaceuticals,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sectPr>
      <w:pgSz w:w="11900" w:h="16838" w:orient="portrait"/>
      <w:cols w:equalWidth="0" w:num="1">
        <w:col w:w="11240"/>
      </w:cols>
      <w:pgMar w:left="320" w:top="9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2025-08-07T15:24:36Z</dcterms:created>
  <dcterms:modified xsi:type="dcterms:W3CDTF">2025-08-07T15:24:36Z</dcterms:modified>
</cp:coreProperties>
</file>