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6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10-QSB</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ind w:left="1160" w:right="3579" w:hanging="1152"/>
        <w:spacing w:after="0" w:line="235" w:lineRule="auto"/>
        <w:tabs>
          <w:tab w:leader="none" w:pos="84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ind w:left="1060"/>
        <w:spacing w:after="0"/>
        <w:tabs>
          <w:tab w:leader="none" w:pos="452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December 31, 1997</w:t>
      </w:r>
    </w:p>
    <w:p>
      <w:pPr>
        <w:spacing w:after="0" w:line="207" w:lineRule="exact"/>
        <w:rPr>
          <w:sz w:val="24"/>
          <w:szCs w:val="24"/>
          <w:color w:val="auto"/>
        </w:rPr>
      </w:pPr>
    </w:p>
    <w:p>
      <w:pPr>
        <w:ind w:left="960" w:right="3359" w:hanging="952"/>
        <w:spacing w:after="0" w:line="235" w:lineRule="auto"/>
        <w:tabs>
          <w:tab w:leader="none" w:pos="3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6"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For the transition period from _____________ to _____________</w:t>
      </w:r>
    </w:p>
    <w:p>
      <w:pPr>
        <w:sectPr>
          <w:pgSz w:w="11900" w:h="16838" w:orient="portrait"/>
          <w:cols w:equalWidth="0" w:num="1">
            <w:col w:w="10219"/>
          </w:cols>
          <w:pgMar w:left="240" w:top="622" w:right="1440" w:bottom="1440" w:gutter="0" w:footer="0" w:header="0"/>
        </w:sectPr>
      </w:pPr>
    </w:p>
    <w:p>
      <w:pPr>
        <w:spacing w:after="0" w:line="22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000-21898</w:t>
      </w:r>
    </w:p>
    <w:p>
      <w:pPr>
        <w:spacing w:after="0" w:line="200" w:lineRule="exact"/>
        <w:rPr>
          <w:sz w:val="24"/>
          <w:szCs w:val="24"/>
          <w:color w:val="auto"/>
        </w:rPr>
      </w:pPr>
    </w:p>
    <w:p>
      <w:pPr>
        <w:sectPr>
          <w:pgSz w:w="11900" w:h="16838" w:orient="portrait"/>
          <w:cols w:equalWidth="0" w:num="2">
            <w:col w:w="4440" w:space="200"/>
            <w:col w:w="5579"/>
          </w:cols>
          <w:pgMar w:left="240" w:top="622" w:right="1440" w:bottom="144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INTERACTIVE INC.</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(Exact name of small business issuer as specified in its charter)</w:t>
      </w:r>
    </w:p>
    <w:p>
      <w:pPr>
        <w:spacing w:after="0" w:line="16" w:lineRule="exact"/>
        <w:rPr>
          <w:sz w:val="24"/>
          <w:szCs w:val="24"/>
          <w:color w:val="auto"/>
        </w:rPr>
      </w:pPr>
    </w:p>
    <w:p>
      <w:pPr>
        <w:ind w:left="1900"/>
        <w:spacing w:after="0"/>
        <w:tabs>
          <w:tab w:leader="none" w:pos="4840" w:val="left"/>
        </w:tabs>
        <w:rPr>
          <w:sz w:val="20"/>
          <w:szCs w:val="20"/>
          <w:color w:val="auto"/>
        </w:rPr>
      </w:pPr>
      <w:r>
        <w:rPr>
          <w:rFonts w:ascii="Courier New" w:cs="Courier New" w:eastAsia="Courier New" w:hAnsi="Courier New"/>
          <w:sz w:val="18"/>
          <w:szCs w:val="18"/>
          <w:color w:val="auto"/>
        </w:rPr>
        <w:t>South Dakota</w:t>
      </w:r>
      <w:r>
        <w:rPr>
          <w:sz w:val="20"/>
          <w:szCs w:val="20"/>
          <w:color w:val="auto"/>
        </w:rPr>
        <w:tab/>
      </w:r>
      <w:r>
        <w:rPr>
          <w:rFonts w:ascii="Courier New" w:cs="Courier New" w:eastAsia="Courier New" w:hAnsi="Courier New"/>
          <w:sz w:val="16"/>
          <w:szCs w:val="16"/>
          <w:color w:val="auto"/>
        </w:rPr>
        <w:t>46-0408024</w:t>
      </w:r>
    </w:p>
    <w:p>
      <w:pPr>
        <w:ind w:left="220"/>
        <w:spacing w:after="0"/>
        <w:tabs>
          <w:tab w:leader="none" w:pos="4620" w:val="left"/>
        </w:tabs>
        <w:rPr>
          <w:sz w:val="20"/>
          <w:szCs w:val="20"/>
          <w:color w:val="auto"/>
        </w:rPr>
      </w:pPr>
      <w:r>
        <w:rPr>
          <w:rFonts w:ascii="Courier New" w:cs="Courier New" w:eastAsia="Courier New" w:hAnsi="Courier New"/>
          <w:sz w:val="18"/>
          <w:szCs w:val="18"/>
          <w:color w:val="auto"/>
        </w:rPr>
        <w:t>(state of incorporation or organization)</w:t>
      </w:r>
      <w:r>
        <w:rPr>
          <w:sz w:val="20"/>
          <w:szCs w:val="20"/>
          <w:color w:val="auto"/>
        </w:rPr>
        <w:tab/>
      </w:r>
      <w:r>
        <w:rPr>
          <w:rFonts w:ascii="Courier New" w:cs="Courier New" w:eastAsia="Courier New" w:hAnsi="Courier New"/>
          <w:sz w:val="16"/>
          <w:szCs w:val="16"/>
          <w:color w:val="auto"/>
        </w:rPr>
        <w:t>(IRS Employer ID No)</w:t>
      </w:r>
    </w:p>
    <w:p>
      <w:pPr>
        <w:ind w:left="2220"/>
        <w:spacing w:after="0"/>
        <w:rPr>
          <w:sz w:val="20"/>
          <w:szCs w:val="20"/>
          <w:color w:val="auto"/>
        </w:rPr>
      </w:pPr>
      <w:r>
        <w:rPr>
          <w:rFonts w:ascii="Courier New" w:cs="Courier New" w:eastAsia="Courier New" w:hAnsi="Courier New"/>
          <w:sz w:val="18"/>
          <w:szCs w:val="18"/>
          <w:color w:val="auto"/>
        </w:rPr>
        <w:t>204 N. Main, Humboldt, SD 57035</w:t>
      </w:r>
    </w:p>
    <w:p>
      <w:pPr>
        <w:sectPr>
          <w:pgSz w:w="11900" w:h="16838" w:orient="portrait"/>
          <w:cols w:equalWidth="0" w:num="1">
            <w:col w:w="10219"/>
          </w:cols>
          <w:pgMar w:left="240" w:top="622" w:right="1440" w:bottom="1440" w:gutter="0" w:footer="0" w:header="0"/>
          <w:type w:val="continuous"/>
        </w:sectPr>
      </w:pPr>
    </w:p>
    <w:p>
      <w:pPr>
        <w:ind w:left="170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ind w:left="3580" w:hanging="622"/>
        <w:spacing w:after="0" w:line="238" w:lineRule="auto"/>
        <w:tabs>
          <w:tab w:leader="none" w:pos="3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363-5117</w:t>
      </w:r>
    </w:p>
    <w:p>
      <w:pPr>
        <w:spacing w:after="0" w:line="4" w:lineRule="exact"/>
        <w:rPr>
          <w:rFonts w:ascii="Courier New" w:cs="Courier New" w:eastAsia="Courier New" w:hAnsi="Courier New"/>
          <w:sz w:val="18"/>
          <w:szCs w:val="18"/>
          <w:color w:val="auto"/>
        </w:rPr>
      </w:pPr>
    </w:p>
    <w:p>
      <w:pPr>
        <w:ind w:left="3480" w:right="515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Issuer's telephone number N/A</w:t>
      </w:r>
    </w:p>
    <w:p>
      <w:pPr>
        <w:jc w:val="center"/>
        <w:ind w:right="2619"/>
        <w:spacing w:after="0"/>
        <w:rPr>
          <w:sz w:val="20"/>
          <w:szCs w:val="20"/>
          <w:color w:val="auto"/>
        </w:rPr>
      </w:pPr>
      <w:r>
        <w:rPr>
          <w:rFonts w:ascii="Courier New" w:cs="Courier New" w:eastAsia="Courier New" w:hAnsi="Courier New"/>
          <w:sz w:val="18"/>
          <w:szCs w:val="18"/>
          <w:color w:val="auto"/>
        </w:rPr>
        <w:t>(Former name, former address and former fiscal year,</w:t>
      </w:r>
    </w:p>
    <w:p>
      <w:pPr>
        <w:jc w:val="center"/>
        <w:ind w:right="2519"/>
        <w:spacing w:after="0" w:line="238" w:lineRule="auto"/>
        <w:rPr>
          <w:sz w:val="20"/>
          <w:szCs w:val="20"/>
          <w:color w:val="auto"/>
        </w:rPr>
      </w:pPr>
      <w:r>
        <w:rPr>
          <w:rFonts w:ascii="Courier New" w:cs="Courier New" w:eastAsia="Courier New" w:hAnsi="Courier New"/>
          <w:sz w:val="18"/>
          <w:szCs w:val="18"/>
          <w:color w:val="auto"/>
        </w:rPr>
        <w:t>if changed since last report)</w:t>
      </w:r>
    </w:p>
    <w:p>
      <w:pPr>
        <w:spacing w:after="0" w:line="207" w:lineRule="exact"/>
        <w:rPr>
          <w:sz w:val="24"/>
          <w:szCs w:val="24"/>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ind w:left="1480"/>
        <w:spacing w:after="0"/>
        <w:tabs>
          <w:tab w:leader="none" w:pos="2720" w:val="left"/>
        </w:tabs>
        <w:rPr>
          <w:sz w:val="20"/>
          <w:szCs w:val="20"/>
          <w:color w:val="auto"/>
        </w:rPr>
      </w:pPr>
      <w:r>
        <w:rPr>
          <w:rFonts w:ascii="Courier New" w:cs="Courier New" w:eastAsia="Courier New" w:hAnsi="Courier New"/>
          <w:sz w:val="18"/>
          <w:szCs w:val="18"/>
          <w:color w:val="auto"/>
        </w:rPr>
        <w:t>Yes . . .</w:t>
      </w:r>
      <w:r>
        <w:rPr>
          <w:sz w:val="20"/>
          <w:szCs w:val="20"/>
          <w:color w:val="auto"/>
        </w:rPr>
        <w:tab/>
      </w:r>
      <w:r>
        <w:rPr>
          <w:rFonts w:ascii="Courier New" w:cs="Courier New" w:eastAsia="Courier New" w:hAnsi="Courier New"/>
          <w:sz w:val="16"/>
          <w:szCs w:val="16"/>
          <w:color w:val="auto"/>
        </w:rPr>
        <w:t>No .X. .</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APPLICABLE ONLY TO ISSUERS INVOLVED IN BANKRUPTCY</w:t>
      </w:r>
    </w:p>
    <w:p>
      <w:pPr>
        <w:ind w:left="1380"/>
        <w:spacing w:after="0" w:line="238" w:lineRule="auto"/>
        <w:rPr>
          <w:sz w:val="20"/>
          <w:szCs w:val="20"/>
          <w:color w:val="auto"/>
        </w:rPr>
      </w:pPr>
      <w:r>
        <w:rPr>
          <w:rFonts w:ascii="Courier New" w:cs="Courier New" w:eastAsia="Courier New" w:hAnsi="Courier New"/>
          <w:sz w:val="18"/>
          <w:szCs w:val="18"/>
          <w:color w:val="auto"/>
        </w:rPr>
        <w:t>PROCEEDINGS DURING THE PRECEDING FIVE YEARS</w:t>
      </w:r>
    </w:p>
    <w:p>
      <w:pPr>
        <w:spacing w:after="0" w:line="5"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Check whether the registrant filed all documents and reports required to be filed by Section 12, 13 or 15(d) of the Exchange Act after the distribution of securities under a plan confirmed by a court. Yes . . . No . . .</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38" w:lineRule="auto"/>
        <w:rPr>
          <w:sz w:val="20"/>
          <w:szCs w:val="20"/>
          <w:color w:val="auto"/>
        </w:rPr>
      </w:pPr>
      <w:r>
        <w:rPr>
          <w:rFonts w:ascii="Courier New" w:cs="Courier New" w:eastAsia="Courier New" w:hAnsi="Courier New"/>
          <w:sz w:val="18"/>
          <w:szCs w:val="18"/>
          <w:color w:val="auto"/>
        </w:rPr>
        <w:t>State the number of shares outstanding of each of the issuer's classes of</w:t>
      </w:r>
    </w:p>
    <w:p>
      <w:pPr>
        <w:spacing w:after="0"/>
        <w:rPr>
          <w:sz w:val="20"/>
          <w:szCs w:val="20"/>
          <w:color w:val="auto"/>
        </w:rPr>
      </w:pPr>
      <w:r>
        <w:rPr>
          <w:rFonts w:ascii="Courier New" w:cs="Courier New" w:eastAsia="Courier New" w:hAnsi="Courier New"/>
          <w:sz w:val="18"/>
          <w:szCs w:val="18"/>
          <w:color w:val="auto"/>
        </w:rPr>
        <w:t>common equity, as of the latest practicable date:</w:t>
      </w:r>
    </w:p>
    <w:p>
      <w:pPr>
        <w:ind w:left="960"/>
        <w:spacing w:after="0" w:line="237" w:lineRule="auto"/>
        <w:rPr>
          <w:sz w:val="20"/>
          <w:szCs w:val="20"/>
          <w:color w:val="auto"/>
        </w:rPr>
      </w:pPr>
      <w:r>
        <w:rPr>
          <w:rFonts w:ascii="Courier New" w:cs="Courier New" w:eastAsia="Courier New" w:hAnsi="Courier New"/>
          <w:sz w:val="18"/>
          <w:szCs w:val="18"/>
          <w:color w:val="auto"/>
        </w:rPr>
        <w:t>3,190,976 shares at December 31, 1997</w:t>
      </w:r>
    </w:p>
    <w:p>
      <w:pPr>
        <w:sectPr>
          <w:pgSz w:w="11900" w:h="16838" w:orient="portrait"/>
          <w:cols w:equalWidth="0" w:num="1">
            <w:col w:w="10219"/>
          </w:cols>
          <w:pgMar w:left="240" w:top="622"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Transitional Small Business Disclosure Format (Check one):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ectPr>
          <w:pgSz w:w="11900" w:h="16838" w:orient="portrait"/>
          <w:cols w:equalWidth="0" w:num="4">
            <w:col w:w="6120" w:space="200"/>
            <w:col w:w="440" w:space="720"/>
            <w:col w:w="220" w:space="320"/>
            <w:col w:w="2199"/>
          </w:cols>
          <w:pgMar w:left="240" w:top="622" w:right="1440"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PART 1. FINANCIAL INFORMATION</w:t>
            </w:r>
          </w:p>
        </w:tc>
        <w:tc>
          <w:tcPr>
            <w:tcW w:w="4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Financial Statements (unaudited)</w:t>
            </w:r>
          </w:p>
        </w:tc>
        <w:tc>
          <w:tcPr>
            <w:tcW w:w="42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6900" w:type="dxa"/>
            <w:vAlign w:val="bottom"/>
          </w:tcPr>
          <w:p>
            <w:pPr>
              <w:ind w:left="1320"/>
              <w:spacing w:after="0"/>
              <w:rPr>
                <w:sz w:val="20"/>
                <w:szCs w:val="20"/>
                <w:color w:val="auto"/>
              </w:rPr>
            </w:pPr>
            <w:r>
              <w:rPr>
                <w:rFonts w:ascii="Courier New" w:cs="Courier New" w:eastAsia="Courier New" w:hAnsi="Courier New"/>
                <w:sz w:val="18"/>
                <w:szCs w:val="18"/>
                <w:color w:val="auto"/>
              </w:rPr>
              <w:t>INDEX TO FINANCIAL STATEMENTS</w:t>
            </w:r>
          </w:p>
        </w:tc>
        <w:tc>
          <w:tcPr>
            <w:tcW w:w="42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9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Sheet as of December 31 , 1997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Statements of Operations for the Three Months Ended December 31, 1997</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w w:val="97"/>
              </w:rPr>
              <w:t>Statement of Stockholders' Equity for Three Months Ended December 31, 1997</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rPr>
              <w:t>Statements of Cash Flows for the Three Months Ended December 31, 1997</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Notes to</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Financial Statements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tc>
        <w:tc>
          <w:tcPr>
            <w:tcW w:w="4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Results of Operations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900" w:type="dxa"/>
            <w:vAlign w:val="bottom"/>
          </w:tcPr>
          <w:p>
            <w:pPr>
              <w:spacing w:after="0"/>
              <w:rPr>
                <w:sz w:val="24"/>
                <w:szCs w:val="24"/>
                <w:color w:val="auto"/>
              </w:rPr>
            </w:pPr>
          </w:p>
        </w:tc>
        <w:tc>
          <w:tcPr>
            <w:tcW w:w="6900" w:type="dxa"/>
            <w:vAlign w:val="bottom"/>
          </w:tcPr>
          <w:p>
            <w:pPr>
              <w:ind w:left="1420"/>
              <w:spacing w:after="0"/>
              <w:rPr>
                <w:sz w:val="20"/>
                <w:szCs w:val="20"/>
                <w:color w:val="auto"/>
              </w:rPr>
            </w:pPr>
            <w:r>
              <w:rPr>
                <w:rFonts w:ascii="Courier New" w:cs="Courier New" w:eastAsia="Courier New" w:hAnsi="Courier New"/>
                <w:sz w:val="18"/>
                <w:szCs w:val="18"/>
                <w:color w:val="auto"/>
              </w:rPr>
              <w:t>PART 2. OTHER INFORMATION</w:t>
            </w:r>
          </w:p>
        </w:tc>
        <w:tc>
          <w:tcPr>
            <w:tcW w:w="42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Changes in Securities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Defaults Upon Senior Securities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Submission of Matters to a Vote of Security Holders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Other Information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tcPr>
          <w:p>
            <w:pPr>
              <w:ind w:left="60"/>
              <w:spacing w:after="0"/>
              <w:rPr>
                <w:sz w:val="20"/>
                <w:szCs w:val="20"/>
                <w:color w:val="auto"/>
              </w:rPr>
            </w:pPr>
            <w:r>
              <w:rPr>
                <w:rFonts w:ascii="Courier New" w:cs="Courier New" w:eastAsia="Courier New" w:hAnsi="Courier New"/>
                <w:sz w:val="18"/>
                <w:szCs w:val="18"/>
                <w:color w:val="auto"/>
              </w:rPr>
              <w:t>Exhibits and Reports on Form 8-K</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bl>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tbl>
      <w:tblPr>
        <w:tblLayout w:type="fixed"/>
        <w:tblInd w:w="0" w:type="dxa"/>
        <w:tblCellMar>
          <w:top w:w="0" w:type="dxa"/>
          <w:left w:w="0" w:type="dxa"/>
          <w:bottom w:w="0" w:type="dxa"/>
          <w:right w:w="0" w:type="dxa"/>
        </w:tblCellMar>
      </w:tblPr>
      <w:tr>
        <w:trPr>
          <w:trHeight w:val="203"/>
        </w:trPr>
        <w:tc>
          <w:tcPr>
            <w:tcW w:w="5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INTERACTIVE INC.</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220" w:type="dxa"/>
            <w:vAlign w:val="bottom"/>
          </w:tcPr>
          <w:p>
            <w:pPr>
              <w:ind w:left="3380"/>
              <w:spacing w:after="0"/>
              <w:rPr>
                <w:sz w:val="20"/>
                <w:szCs w:val="20"/>
                <w:color w:val="auto"/>
              </w:rPr>
            </w:pPr>
            <w:r>
              <w:rPr>
                <w:rFonts w:ascii="Courier New" w:cs="Courier New" w:eastAsia="Courier New" w:hAnsi="Courier New"/>
                <w:sz w:val="18"/>
                <w:szCs w:val="18"/>
                <w:color w:val="auto"/>
              </w:rPr>
              <w:t>BALANCE SHEETS</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December 31, 1997</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ASSETS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9/30/97</w:t>
            </w:r>
          </w:p>
        </w:tc>
      </w:tr>
      <w:tr>
        <w:trPr>
          <w:trHeight w:val="203"/>
        </w:trPr>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1,317</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1,165</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5,189</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10,418</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21,374</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21,713</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800</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26,680</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34,096</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1,962</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 and improvements</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84,962</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84,962</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Computer and office equipment</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54,246</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54,246</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141,170</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141,170</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80,782</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77,032</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60,388</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64,138</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at cost</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253,971</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253,971</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5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245,354</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244,526</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8,617</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9,445</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97,685</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107,679</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bank</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213,500</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213,500</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related party</w:t>
            </w: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545,000</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545,000</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265,436</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265,436</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1,121,984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1,119,092</w:t>
            </w: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Accounts payable, trade, Torrey Pines Research, Inc.</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296,297</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296,297</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5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248,585</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244,526</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$ 2,690,802</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$ 2,683,851</w:t>
            </w:r>
          </w:p>
        </w:tc>
      </w:tr>
      <w:tr>
        <w:trPr>
          <w:trHeight w:val="203"/>
        </w:trPr>
        <w:tc>
          <w:tcPr>
            <w:tcW w:w="5220" w:type="dxa"/>
            <w:vAlign w:val="bottom"/>
          </w:tcPr>
          <w:p>
            <w:pPr>
              <w:spacing w:after="0"/>
              <w:rPr>
                <w:sz w:val="17"/>
                <w:szCs w:val="17"/>
                <w:color w:val="auto"/>
              </w:rPr>
            </w:pPr>
          </w:p>
        </w:tc>
        <w:tc>
          <w:tcPr>
            <w:tcW w:w="312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20" w:type="dxa"/>
            <w:vAlign w:val="bottom"/>
          </w:tcPr>
          <w:p>
            <w:pPr>
              <w:spacing w:after="0"/>
              <w:rPr>
                <w:sz w:val="17"/>
                <w:szCs w:val="17"/>
                <w:color w:val="auto"/>
              </w:rPr>
            </w:pPr>
          </w:p>
        </w:tc>
        <w:tc>
          <w:tcPr>
            <w:tcW w:w="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265,436</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265,436</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current maturities</w:t>
            </w:r>
          </w:p>
        </w:tc>
        <w:tc>
          <w:tcPr>
            <w:tcW w:w="5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(265,436)</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(265,436)</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9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Series A preferred stock, par value $.001 per share; authorized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5,000,000 shares; issued 113,901 shares</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par value $.001 per share; authorized</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10,000,000 shares; issued 3,190,976</w:t>
            </w:r>
          </w:p>
        </w:tc>
        <w:tc>
          <w:tcPr>
            <w:tcW w:w="5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3,191</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3,191</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5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6,834,594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6,834,594</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580" w:type="dxa"/>
            <w:vAlign w:val="bottom"/>
          </w:tcPr>
          <w:p>
            <w:pPr>
              <w:spacing w:after="0"/>
              <w:rPr>
                <w:sz w:val="17"/>
                <w:szCs w:val="17"/>
                <w:color w:val="auto"/>
              </w:rPr>
            </w:pPr>
          </w:p>
        </w:tc>
        <w:tc>
          <w:tcPr>
            <w:tcW w:w="25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(9,431,016) (9,414,071)</w:t>
            </w:r>
          </w:p>
        </w:tc>
      </w:tr>
      <w:tr>
        <w:trPr>
          <w:trHeight w:val="203"/>
        </w:trPr>
        <w:tc>
          <w:tcPr>
            <w:tcW w:w="5220" w:type="dxa"/>
            <w:vAlign w:val="bottom"/>
          </w:tcPr>
          <w:p>
            <w:pPr>
              <w:spacing w:after="0"/>
              <w:rPr>
                <w:sz w:val="17"/>
                <w:szCs w:val="17"/>
                <w:color w:val="auto"/>
              </w:rPr>
            </w:pP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$(2,593,117)</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$(2,576,172)</w:t>
            </w:r>
          </w:p>
        </w:tc>
      </w:tr>
      <w:tr>
        <w:trPr>
          <w:trHeight w:val="203"/>
        </w:trPr>
        <w:tc>
          <w:tcPr>
            <w:tcW w:w="5220" w:type="dxa"/>
            <w:vAlign w:val="bottom"/>
          </w:tcPr>
          <w:p>
            <w:pPr>
              <w:spacing w:after="0"/>
              <w:rPr>
                <w:sz w:val="17"/>
                <w:szCs w:val="17"/>
                <w:color w:val="auto"/>
              </w:rPr>
            </w:pP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220" w:type="dxa"/>
            <w:vAlign w:val="bottom"/>
          </w:tcPr>
          <w:p>
            <w:pPr>
              <w:spacing w:after="0"/>
              <w:rPr>
                <w:sz w:val="17"/>
                <w:szCs w:val="17"/>
                <w:color w:val="auto"/>
              </w:rPr>
            </w:pP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97,685</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107,679</w:t>
            </w:r>
          </w:p>
        </w:tc>
      </w:tr>
      <w:tr>
        <w:trPr>
          <w:trHeight w:val="203"/>
        </w:trPr>
        <w:tc>
          <w:tcPr>
            <w:tcW w:w="5220" w:type="dxa"/>
            <w:vAlign w:val="bottom"/>
          </w:tcPr>
          <w:p>
            <w:pPr>
              <w:spacing w:after="0"/>
              <w:rPr>
                <w:sz w:val="17"/>
                <w:szCs w:val="17"/>
                <w:color w:val="auto"/>
              </w:rPr>
            </w:pP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See Notes to Financial Statements.</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4960" w:type="dxa"/>
            <w:vAlign w:val="bottom"/>
          </w:tcPr>
          <w:p>
            <w:pPr>
              <w:ind w:left="3280"/>
              <w:spacing w:after="0" w:line="203" w:lineRule="exact"/>
              <w:rPr>
                <w:sz w:val="20"/>
                <w:szCs w:val="20"/>
                <w:color w:val="auto"/>
              </w:rPr>
            </w:pPr>
            <w:r>
              <w:rPr>
                <w:rFonts w:ascii="Courier New" w:cs="Courier New" w:eastAsia="Courier New" w:hAnsi="Courier New"/>
                <w:sz w:val="18"/>
                <w:szCs w:val="18"/>
                <w:color w:val="auto"/>
                <w:w w:val="96"/>
              </w:rPr>
              <w:t>INTERACTIVE INC.</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480" w:type="dxa"/>
            <w:vAlign w:val="bottom"/>
            <w:gridSpan w:val="2"/>
          </w:tcPr>
          <w:p>
            <w:pPr>
              <w:ind w:left="2740"/>
              <w:spacing w:after="0"/>
              <w:rPr>
                <w:sz w:val="20"/>
                <w:szCs w:val="20"/>
                <w:color w:val="auto"/>
              </w:rPr>
            </w:pPr>
            <w:r>
              <w:rPr>
                <w:rFonts w:ascii="Courier New" w:cs="Courier New" w:eastAsia="Courier New" w:hAnsi="Courier New"/>
                <w:sz w:val="18"/>
                <w:szCs w:val="18"/>
                <w:color w:val="auto"/>
              </w:rPr>
              <w:t>STATEMENTS OF OPERATIONS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860" w:type="dxa"/>
            <w:vAlign w:val="bottom"/>
            <w:gridSpan w:val="3"/>
          </w:tcPr>
          <w:p>
            <w:pPr>
              <w:ind w:left="1700"/>
              <w:spacing w:after="0" w:line="203" w:lineRule="exact"/>
              <w:rPr>
                <w:sz w:val="20"/>
                <w:szCs w:val="20"/>
                <w:color w:val="auto"/>
              </w:rPr>
            </w:pPr>
            <w:r>
              <w:rPr>
                <w:rFonts w:ascii="Courier New" w:cs="Courier New" w:eastAsia="Courier New" w:hAnsi="Courier New"/>
                <w:sz w:val="18"/>
                <w:szCs w:val="18"/>
                <w:color w:val="auto"/>
              </w:rPr>
              <w:t>Three Months Ended December 31, 1997 and 1996</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6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Three months ended</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2"/>
              </w:rPr>
              <w:t>1997</w:t>
            </w:r>
          </w:p>
        </w:tc>
        <w:tc>
          <w:tcPr>
            <w:tcW w:w="3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96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Courier New" w:cs="Courier New" w:eastAsia="Courier New" w:hAnsi="Courier New"/>
                <w:sz w:val="7"/>
                <w:szCs w:val="7"/>
                <w:color w:val="auto"/>
                <w:w w:val="79"/>
              </w:rPr>
              <w:t>---------------</w:t>
            </w:r>
          </w:p>
        </w:tc>
        <w:tc>
          <w:tcPr>
            <w:tcW w:w="28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11,273</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28,723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exclusive of depreciation</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amortization shown separately below</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5,003</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13,100</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Gross profit</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6,270</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15,623</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11,097</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19,414</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Support and production</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1,707</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1,144</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3,977</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4,578</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25,954</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17,200</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51,052</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96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Operating Loss</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(10,930)</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(35,429)</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Nonoperating income (expense):</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Rental income</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5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(10,240)</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(10,043)</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Miscellaneous income</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3,995</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636</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Nonoperating income (expense):</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(6,016)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(7,307)</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ind w:left="1280"/>
              <w:spacing w:after="0"/>
              <w:rPr>
                <w:sz w:val="20"/>
                <w:szCs w:val="20"/>
                <w:color w:val="auto"/>
              </w:rPr>
            </w:pPr>
            <w:r>
              <w:rPr>
                <w:rFonts w:ascii="Courier New" w:cs="Courier New" w:eastAsia="Courier New" w:hAnsi="Courier New"/>
                <w:sz w:val="18"/>
                <w:szCs w:val="18"/>
                <w:color w:val="auto"/>
              </w:rPr>
              <w:t>Net loss</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(16,946)</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(42,736)</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Loss per common and common equivalent share</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(0.01)</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INTERACTIVE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STATEMENT OF STOCKHOLDERS' EQUITY</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Three months ended December 31, 1997</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September 30,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Stock Issued</w:t>
      </w:r>
    </w:p>
    <w:p>
      <w:pPr>
        <w:ind w:left="100"/>
        <w:spacing w:after="0" w:line="238" w:lineRule="auto"/>
        <w:tabs>
          <w:tab w:leader="none" w:pos="146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Common</w:t>
      </w:r>
    </w:p>
    <w:p>
      <w:pPr>
        <w:spacing w:after="0" w:line="5"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600" w:val="left"/>
          <w:tab w:leader="none" w:pos="1340" w:val="left"/>
          <w:tab w:leader="none" w:pos="1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3,191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Additional</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Paid-in</w:t>
      </w:r>
    </w:p>
    <w:p>
      <w:pPr>
        <w:ind w:left="220"/>
        <w:spacing w:after="0" w:line="238" w:lineRule="auto"/>
        <w:rPr>
          <w:sz w:val="20"/>
          <w:szCs w:val="20"/>
          <w:color w:val="auto"/>
        </w:rPr>
      </w:pPr>
      <w:r>
        <w:rPr>
          <w:rFonts w:ascii="Courier New" w:cs="Courier New" w:eastAsia="Courier New" w:hAnsi="Courier New"/>
          <w:sz w:val="18"/>
          <w:szCs w:val="18"/>
          <w:color w:val="auto"/>
        </w:rPr>
        <w:t>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$ 6,834,594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Retained</w:t>
      </w:r>
    </w:p>
    <w:p>
      <w:pPr>
        <w:ind w:left="220"/>
        <w:spacing w:after="0" w:line="238" w:lineRule="auto"/>
        <w:rPr>
          <w:sz w:val="20"/>
          <w:szCs w:val="20"/>
          <w:color w:val="auto"/>
        </w:rPr>
      </w:pPr>
      <w:r>
        <w:rPr>
          <w:rFonts w:ascii="Courier New" w:cs="Courier New" w:eastAsia="Courier New" w:hAnsi="Courier New"/>
          <w:sz w:val="18"/>
          <w:szCs w:val="18"/>
          <w:color w:val="auto"/>
        </w:rPr>
        <w:t>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(Accumulated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Deficit)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$(9,414,070)</w:t>
      </w:r>
    </w:p>
    <w:p>
      <w:pPr>
        <w:spacing w:after="0" w:line="216" w:lineRule="exact"/>
        <w:rPr>
          <w:sz w:val="20"/>
          <w:szCs w:val="20"/>
          <w:color w:val="auto"/>
        </w:rPr>
      </w:pPr>
    </w:p>
    <w:p>
      <w:pPr>
        <w:sectPr>
          <w:pgSz w:w="11900" w:h="16838" w:orient="portrait"/>
          <w:cols w:equalWidth="0" w:num="4">
            <w:col w:w="2860" w:space="100"/>
            <w:col w:w="2200" w:space="220"/>
            <w:col w:w="1160" w:space="420"/>
            <w:col w:w="325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common stock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16" w:lineRule="exact"/>
        <w:rPr>
          <w:sz w:val="20"/>
          <w:szCs w:val="20"/>
          <w:color w:val="auto"/>
        </w:rPr>
      </w:pPr>
    </w:p>
    <w:p>
      <w:pPr>
        <w:sectPr>
          <w:pgSz w:w="11900" w:h="16838" w:orient="portrait"/>
          <w:cols w:equalWidth="0" w:num="5">
            <w:col w:w="3080" w:space="720"/>
            <w:col w:w="540" w:space="720"/>
            <w:col w:w="660" w:space="720"/>
            <w:col w:w="860" w:space="720"/>
            <w:col w:w="2199"/>
          </w:cols>
          <w:pgMar w:left="240" w:top="312" w:right="1440" w:bottom="1440" w:gutter="0" w:footer="0" w:header="0"/>
          <w:type w:val="continuous"/>
        </w:sectPr>
      </w:pPr>
    </w:p>
    <w:p>
      <w:pPr>
        <w:ind w:left="120"/>
        <w:spacing w:after="0"/>
        <w:rPr>
          <w:sz w:val="20"/>
          <w:szCs w:val="20"/>
          <w:color w:val="auto"/>
        </w:rPr>
      </w:pPr>
      <w:r>
        <w:rPr>
          <w:rFonts w:ascii="Courier New" w:cs="Courier New" w:eastAsia="Courier New" w:hAnsi="Courier New"/>
          <w:sz w:val="18"/>
          <w:szCs w:val="18"/>
          <w:color w:val="auto"/>
        </w:rPr>
        <w:t>Services, other assets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settlement of trade payables</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of preferred stock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ectPr>
          <w:pgSz w:w="11900" w:h="16838" w:orient="portrait"/>
          <w:cols w:equalWidth="0" w:num="5">
            <w:col w:w="3080" w:space="720"/>
            <w:col w:w="540" w:space="720"/>
            <w:col w:w="660" w:space="720"/>
            <w:col w:w="860" w:space="720"/>
            <w:col w:w="2199"/>
          </w:cols>
          <w:pgMar w:left="240" w:top="312"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to common stock</w:t>
      </w:r>
    </w:p>
    <w:p>
      <w:pPr>
        <w:sectPr>
          <w:pgSz w:w="11900" w:h="16838" w:orient="portrait"/>
          <w:cols w:equalWidth="0" w:num="1">
            <w:col w:w="10219"/>
          </w:cols>
          <w:pgMar w:left="240" w:top="31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December 31,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 $ 114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 $ 3,191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 $ 6,834,594</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(16,946)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$(9,431,016)</w:t>
      </w:r>
    </w:p>
    <w:p>
      <w:pPr>
        <w:spacing w:after="0" w:line="237" w:lineRule="exact"/>
        <w:rPr>
          <w:sz w:val="20"/>
          <w:szCs w:val="20"/>
          <w:color w:val="auto"/>
        </w:rPr>
      </w:pPr>
    </w:p>
    <w:p>
      <w:pPr>
        <w:sectPr>
          <w:pgSz w:w="11900" w:h="16838" w:orient="portrait"/>
          <w:cols w:equalWidth="0" w:num="5">
            <w:col w:w="2740" w:space="320"/>
            <w:col w:w="960" w:space="300"/>
            <w:col w:w="960" w:space="200"/>
            <w:col w:w="1160" w:space="320"/>
            <w:col w:w="32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INTERACTIVE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STATEMENTS OF CASH FLOWS</w:t>
      </w:r>
    </w:p>
    <w:p>
      <w:pPr>
        <w:ind w:left="1280"/>
        <w:spacing w:after="0" w:line="238" w:lineRule="auto"/>
        <w:rPr>
          <w:sz w:val="20"/>
          <w:szCs w:val="20"/>
          <w:color w:val="auto"/>
        </w:rPr>
      </w:pPr>
      <w:r>
        <w:rPr>
          <w:rFonts w:ascii="Courier New" w:cs="Courier New" w:eastAsia="Courier New" w:hAnsi="Courier New"/>
          <w:sz w:val="18"/>
          <w:szCs w:val="18"/>
          <w:color w:val="auto"/>
        </w:rPr>
        <w:t>Three Months Ended Deceber 31, 1997 and 1996</w:t>
      </w:r>
    </w:p>
    <w:p>
      <w:pPr>
        <w:ind w:left="296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Three months ended December 31,</w:t>
      </w:r>
    </w:p>
    <w:p>
      <w:pPr>
        <w:ind w:left="5280"/>
        <w:spacing w:after="0" w:line="238" w:lineRule="auto"/>
        <w:tabs>
          <w:tab w:leader="none" w:pos="736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1996</w:t>
      </w:r>
    </w:p>
    <w:p>
      <w:pPr>
        <w:ind w:left="4860"/>
        <w:spacing w:after="0"/>
        <w:tabs>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CASH FLOW FROM OPERATING ACTIVITIES</w:t>
      </w:r>
    </w:p>
    <w:p>
      <w:pPr>
        <w:ind w:left="220"/>
        <w:spacing w:after="0"/>
        <w:tabs>
          <w:tab w:leader="none" w:pos="4840" w:val="left"/>
          <w:tab w:leader="none" w:pos="5260" w:val="left"/>
          <w:tab w:leader="none" w:pos="6840" w:val="left"/>
          <w:tab w:leader="none" w:pos="7260" w:val="left"/>
        </w:tabs>
        <w:rPr>
          <w:sz w:val="20"/>
          <w:szCs w:val="20"/>
          <w:color w:val="auto"/>
        </w:rPr>
      </w:pPr>
      <w:r>
        <w:rPr>
          <w:rFonts w:ascii="Courier New" w:cs="Courier New" w:eastAsia="Courier New" w:hAnsi="Courier New"/>
          <w:sz w:val="18"/>
          <w:szCs w:val="18"/>
          <w:color w:val="auto"/>
        </w:rPr>
        <w:t>Net loss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(16,946)</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(42,736)</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Adjustments to reconcile net loss to net cash (used in) operating activities: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ind w:left="420"/>
              <w:spacing w:after="0"/>
              <w:rPr>
                <w:sz w:val="20"/>
                <w:szCs w:val="20"/>
                <w:color w:val="auto"/>
              </w:rPr>
            </w:pPr>
            <w:r>
              <w:rPr>
                <w:rFonts w:ascii="Courier New" w:cs="Courier New" w:eastAsia="Courier New" w:hAnsi="Courier New"/>
                <w:sz w:val="18"/>
                <w:szCs w:val="18"/>
                <w:color w:val="auto"/>
              </w:rPr>
              <w:t>Depreciation and amortization</w:t>
            </w:r>
          </w:p>
        </w:tc>
        <w:tc>
          <w:tcPr>
            <w:tcW w:w="520" w:type="dxa"/>
            <w:vAlign w:val="bottom"/>
          </w:tcPr>
          <w:p>
            <w:pPr>
              <w:spacing w:after="0"/>
              <w:rPr>
                <w:sz w:val="17"/>
                <w:szCs w:val="17"/>
                <w:color w:val="auto"/>
              </w:rPr>
            </w:pPr>
          </w:p>
        </w:tc>
        <w:tc>
          <w:tcPr>
            <w:tcW w:w="11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4,578</w:t>
            </w:r>
          </w:p>
        </w:tc>
        <w:tc>
          <w:tcPr>
            <w:tcW w:w="740" w:type="dxa"/>
            <w:vAlign w:val="bottom"/>
          </w:tcPr>
          <w:p>
            <w:pPr>
              <w:spacing w:after="0"/>
              <w:rPr>
                <w:sz w:val="17"/>
                <w:szCs w:val="17"/>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25,954</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 for services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 accounts payable</w:t>
            </w:r>
          </w:p>
        </w:tc>
        <w:tc>
          <w:tcPr>
            <w:tcW w:w="52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5,527</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Change in assets and liabilities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Decrease in receivables</w:t>
            </w:r>
          </w:p>
        </w:tc>
        <w:tc>
          <w:tcPr>
            <w:tcW w:w="52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5,229</w:t>
            </w:r>
          </w:p>
        </w:tc>
        <w:tc>
          <w:tcPr>
            <w:tcW w:w="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9,954</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Decrease in inventories</w:t>
            </w:r>
          </w:p>
        </w:tc>
        <w:tc>
          <w:tcPr>
            <w:tcW w:w="52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339</w:t>
            </w:r>
          </w:p>
        </w:tc>
        <w:tc>
          <w:tcPr>
            <w:tcW w:w="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4,420</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prepaid expenses and other</w:t>
            </w:r>
          </w:p>
        </w:tc>
        <w:tc>
          <w:tcPr>
            <w:tcW w:w="52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(1,327)</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Increase  (Decrease) in accounts payable,</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trade 2,892</w:t>
            </w:r>
          </w:p>
        </w:tc>
        <w:tc>
          <w:tcPr>
            <w:tcW w:w="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(2,338)</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accrued expenses</w:t>
            </w:r>
          </w:p>
        </w:tc>
        <w:tc>
          <w:tcPr>
            <w:tcW w:w="52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4,059</w:t>
            </w:r>
          </w:p>
        </w:tc>
        <w:tc>
          <w:tcPr>
            <w:tcW w:w="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7,483</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151</w:t>
            </w:r>
          </w:p>
        </w:tc>
        <w:tc>
          <w:tcPr>
            <w:tcW w:w="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6,937</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CASH FLOW FROM FINANCING ACTIVITIES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long term debt</w:t>
            </w:r>
          </w:p>
        </w:tc>
        <w:tc>
          <w:tcPr>
            <w:tcW w:w="52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increase in cash and cash equivalents</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151</w:t>
            </w:r>
          </w:p>
        </w:tc>
        <w:tc>
          <w:tcPr>
            <w:tcW w:w="74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3,594</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1,165</w:t>
            </w:r>
          </w:p>
        </w:tc>
        <w:tc>
          <w:tcPr>
            <w:tcW w:w="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1,034</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Ending</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1,316</w:t>
            </w:r>
          </w:p>
        </w:tc>
        <w:tc>
          <w:tcPr>
            <w:tcW w:w="74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4,628</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DISCLOSURES OF CASH FLOW INFORMATION</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payments for interest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INTERACTIVE INC.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Interim Financial Statements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financial information presented has been prepared from the books and records without audit but, in the opinion of management, includes all adjustments, consisting of only normal recurring adjustments, necessary for a fair presentation of the financial information for the periods presented. The results of operations for the three months ended December 31, 1997, are not necessarily indicative of the results expected for the entire year.</w:t>
      </w:r>
    </w:p>
    <w:p>
      <w:pPr>
        <w:spacing w:after="0" w:line="200" w:lineRule="exact"/>
        <w:rPr>
          <w:sz w:val="20"/>
          <w:szCs w:val="20"/>
          <w:color w:val="auto"/>
        </w:rPr>
      </w:pP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Income Taxes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adopted the Financial Accounting Standards Board Statement No. 109, Accounting for Income Taxes on October 1, 1993. Statement 109 requires that deferred taxes be recorded on a liability method and adjusted when new tax rates are enacted. There was no effect to the Company's financial statements as a result of adopting Statement 109.</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At December 31, 1997, the Company had a net operating loss carryforward for tax purposes of approximately $7,420,000. For financial reporting purposes, the operating loss carryforward is approximately $9,430,000, which represents the amount of future tax deductions for which a tax benefit has not been recognized in the financial statements. No deferred asset has been recorded for the benefit of the net operating loss or any other temporary differences as the related valuation allowance would be equal to the net deferred tax asset.</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Loss Per Common and Common Equivalent Share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loss per common and common equivalent share has been computed using the weighted average of the number of shares outstanding for the three months ended December 31, 1997 and 1996. The weighted number of common and common equivalent shares outstanding for the three months ended December 31, 1997 and 1996 are 3,156,291 and 3,123,109 respectively. The loss per common and common equivalent share assuming full dilution is the same as the loss per common and common equivalent share since the convertible preferred stock, convertible notes and common stock options and warrants have not been included in the computation as their inclusion would be anti-dilutive.</w:t>
      </w:r>
    </w:p>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Stock Options and Warrants</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 has a plan to grant incentive stock options to employees and non-statutory stock options to other individuals who provide services to the Company. All options granted are at the discretion of the Board of Directors and vest with the option holder over a 36 or 48 month period of continuous service to the Company. The option price for all options granted to date is established by the board of Directors. The exercise price for options granted to an optionee who owns stock greater than 10% of the total voting power of all classes of stock of the company shall be 110% of the fair market value of the stock on the date the option is granted. The Company has 133,333 shares of common stock reserved for options as of December 31, 1997. The following details the stock options issued and outstanding as of December 31, 1997.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1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Options</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Options</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Option</w:t>
            </w:r>
          </w:p>
        </w:tc>
        <w:tc>
          <w:tcPr>
            <w:tcW w:w="1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Expiration</w:t>
            </w:r>
          </w:p>
        </w:tc>
      </w:tr>
      <w:tr>
        <w:trPr>
          <w:trHeight w:val="203"/>
        </w:trPr>
        <w:tc>
          <w:tcPr>
            <w:tcW w:w="270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Issued</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Exercisable</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Price</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2700" w:type="dxa"/>
            <w:vAlign w:val="bottom"/>
          </w:tcPr>
          <w:p>
            <w:pPr>
              <w:spacing w:after="0"/>
              <w:rPr>
                <w:sz w:val="17"/>
                <w:szCs w:val="17"/>
                <w:color w:val="auto"/>
              </w:rPr>
            </w:pP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9,334</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9,334</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3,000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0.25</w:t>
            </w:r>
          </w:p>
        </w:tc>
        <w:tc>
          <w:tcPr>
            <w:tcW w:w="380" w:type="dxa"/>
            <w:vAlign w:val="bottom"/>
          </w:tcPr>
          <w:p>
            <w:pPr>
              <w:spacing w:after="0"/>
              <w:rPr>
                <w:sz w:val="17"/>
                <w:szCs w:val="17"/>
                <w:color w:val="auto"/>
              </w:rPr>
            </w:pPr>
          </w:p>
        </w:tc>
        <w:tc>
          <w:tcPr>
            <w:tcW w:w="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2004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1,974</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380" w:type="dxa"/>
            <w:vAlign w:val="bottom"/>
          </w:tcPr>
          <w:p>
            <w:pPr>
              <w:spacing w:after="0"/>
              <w:rPr>
                <w:sz w:val="17"/>
                <w:szCs w:val="17"/>
                <w:color w:val="auto"/>
              </w:rPr>
            </w:pPr>
          </w:p>
        </w:tc>
        <w:tc>
          <w:tcPr>
            <w:tcW w:w="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2005</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3,000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0.25</w:t>
            </w:r>
          </w:p>
        </w:tc>
        <w:tc>
          <w:tcPr>
            <w:tcW w:w="380" w:type="dxa"/>
            <w:vAlign w:val="bottom"/>
          </w:tcPr>
          <w:p>
            <w:pPr>
              <w:spacing w:after="0"/>
              <w:rPr>
                <w:sz w:val="17"/>
                <w:szCs w:val="17"/>
                <w:color w:val="auto"/>
              </w:rPr>
            </w:pPr>
          </w:p>
        </w:tc>
        <w:tc>
          <w:tcPr>
            <w:tcW w:w="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2003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18,000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18,000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0.25</w:t>
            </w:r>
          </w:p>
        </w:tc>
        <w:tc>
          <w:tcPr>
            <w:tcW w:w="380" w:type="dxa"/>
            <w:vAlign w:val="bottom"/>
          </w:tcPr>
          <w:p>
            <w:pPr>
              <w:spacing w:after="0"/>
              <w:rPr>
                <w:sz w:val="17"/>
                <w:szCs w:val="17"/>
                <w:color w:val="auto"/>
              </w:rPr>
            </w:pPr>
          </w:p>
        </w:tc>
        <w:tc>
          <w:tcPr>
            <w:tcW w:w="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2004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36,000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27,000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0.25</w:t>
            </w:r>
          </w:p>
        </w:tc>
        <w:tc>
          <w:tcPr>
            <w:tcW w:w="380" w:type="dxa"/>
            <w:vAlign w:val="bottom"/>
          </w:tcPr>
          <w:p>
            <w:pPr>
              <w:spacing w:after="0"/>
              <w:rPr>
                <w:sz w:val="17"/>
                <w:szCs w:val="17"/>
                <w:color w:val="auto"/>
              </w:rPr>
            </w:pPr>
          </w:p>
        </w:tc>
        <w:tc>
          <w:tcPr>
            <w:tcW w:w="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2005</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Company's President</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4,368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380" w:type="dxa"/>
            <w:vAlign w:val="bottom"/>
          </w:tcPr>
          <w:p>
            <w:pPr>
              <w:spacing w:after="0"/>
              <w:rPr>
                <w:sz w:val="17"/>
                <w:szCs w:val="17"/>
                <w:color w:val="auto"/>
              </w:rPr>
            </w:pPr>
          </w:p>
        </w:tc>
        <w:tc>
          <w:tcPr>
            <w:tcW w:w="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2006</w:t>
            </w: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Company has issued common stock warrants to purchase shares of common stock at a set price. The following details the common stock warrants issued and outstanding as of December 31, 1997.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Warrants</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5"/>
              </w:rPr>
              <w:t>Warrant</w:t>
            </w:r>
          </w:p>
        </w:tc>
        <w:tc>
          <w:tcPr>
            <w:tcW w:w="13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8"/>
              </w:rPr>
              <w:t>Expiration</w:t>
            </w:r>
          </w:p>
        </w:tc>
      </w:tr>
      <w:tr>
        <w:trPr>
          <w:trHeight w:val="203"/>
        </w:trPr>
        <w:tc>
          <w:tcPr>
            <w:tcW w:w="1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Issued</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Date</w:t>
            </w:r>
          </w:p>
        </w:tc>
      </w:tr>
      <w:tr>
        <w:trPr>
          <w:trHeight w:val="203"/>
        </w:trPr>
        <w:tc>
          <w:tcPr>
            <w:tcW w:w="1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Underwriters' warrants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6-26-98</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Warrants for refinancing note</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3-31-98</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Note 5.</w:t>
            </w: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Bank Line of Credit</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1"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The Company has a line-of-credit aggregating $213,500 from a bank.</w:t>
      </w:r>
      <w:r>
        <w:rPr>
          <w:sz w:val="20"/>
          <w:szCs w:val="20"/>
          <w:color w:val="auto"/>
        </w:rPr>
        <w:tab/>
      </w:r>
      <w:r>
        <w:rPr>
          <w:rFonts w:ascii="Courier New" w:cs="Courier New" w:eastAsia="Courier New" w:hAnsi="Courier New"/>
          <w:sz w:val="16"/>
          <w:szCs w:val="16"/>
          <w:color w:val="auto"/>
        </w:rPr>
        <w:t>At</w:t>
      </w:r>
    </w:p>
    <w:p>
      <w:pPr>
        <w:spacing w:after="0" w:line="238" w:lineRule="auto"/>
        <w:rPr>
          <w:sz w:val="20"/>
          <w:szCs w:val="20"/>
          <w:color w:val="auto"/>
        </w:rPr>
      </w:pPr>
      <w:r>
        <w:rPr>
          <w:rFonts w:ascii="Courier New" w:cs="Courier New" w:eastAsia="Courier New" w:hAnsi="Courier New"/>
          <w:sz w:val="18"/>
          <w:szCs w:val="18"/>
          <w:color w:val="auto"/>
        </w:rPr>
        <w:t>December 31, 1997 the agreement with the bank allowed up to a total of</w:t>
      </w:r>
    </w:p>
    <w:p>
      <w:pPr>
        <w:spacing w:after="0"/>
        <w:tabs>
          <w:tab w:leader="none" w:pos="5460" w:val="left"/>
        </w:tabs>
        <w:rPr>
          <w:sz w:val="20"/>
          <w:szCs w:val="20"/>
          <w:color w:val="auto"/>
        </w:rPr>
      </w:pPr>
      <w:r>
        <w:rPr>
          <w:rFonts w:ascii="Courier New" w:cs="Courier New" w:eastAsia="Courier New" w:hAnsi="Courier New"/>
          <w:sz w:val="18"/>
          <w:szCs w:val="18"/>
          <w:color w:val="auto"/>
        </w:rPr>
        <w:t>$213,500 to be borrowed under this line-of-credit.</w:t>
      </w:r>
      <w:r>
        <w:rPr>
          <w:sz w:val="20"/>
          <w:szCs w:val="20"/>
          <w:color w:val="auto"/>
        </w:rPr>
        <w:tab/>
      </w:r>
      <w:r>
        <w:rPr>
          <w:rFonts w:ascii="Courier New" w:cs="Courier New" w:eastAsia="Courier New" w:hAnsi="Courier New"/>
          <w:sz w:val="16"/>
          <w:szCs w:val="16"/>
          <w:color w:val="auto"/>
        </w:rPr>
        <w:t>The line is at a variable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of .75% over the banks commercial base rate (10.43% at December</w:t>
      </w:r>
    </w:p>
    <w:p>
      <w:pPr>
        <w:spacing w:after="0" w:line="16"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31, 1997), with interest on the outstanding balance due monthly.</w:t>
      </w:r>
      <w:r>
        <w:rPr>
          <w:sz w:val="20"/>
          <w:szCs w:val="20"/>
          <w:color w:val="auto"/>
        </w:rPr>
        <w:tab/>
      </w:r>
      <w:r>
        <w:rPr>
          <w:rFonts w:ascii="Courier New" w:cs="Courier New" w:eastAsia="Courier New" w:hAnsi="Courier New"/>
          <w:sz w:val="16"/>
          <w:szCs w:val="16"/>
          <w:color w:val="auto"/>
        </w:rPr>
        <w:t>The Company</w:t>
      </w:r>
    </w:p>
    <w:p>
      <w:pPr>
        <w:spacing w:after="0" w:line="238" w:lineRule="auto"/>
        <w:rPr>
          <w:sz w:val="20"/>
          <w:szCs w:val="20"/>
          <w:color w:val="auto"/>
        </w:rPr>
      </w:pPr>
      <w:r>
        <w:rPr>
          <w:rFonts w:ascii="Courier New" w:cs="Courier New" w:eastAsia="Courier New" w:hAnsi="Courier New"/>
          <w:sz w:val="18"/>
          <w:szCs w:val="18"/>
          <w:color w:val="auto"/>
        </w:rPr>
        <w:t>has been unable to make the monthly interest payments, but is accruing the</w:t>
      </w:r>
    </w:p>
    <w:p>
      <w:pPr>
        <w:spacing w:after="0"/>
        <w:tabs>
          <w:tab w:leader="none" w:pos="114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The line is secured by substantially all of the assets of the</w:t>
      </w:r>
    </w:p>
    <w:p>
      <w:pPr>
        <w:spacing w:after="0" w:line="237" w:lineRule="auto"/>
        <w:rPr>
          <w:sz w:val="20"/>
          <w:szCs w:val="20"/>
          <w:color w:val="auto"/>
        </w:rPr>
      </w:pPr>
      <w:r>
        <w:rPr>
          <w:rFonts w:ascii="Courier New" w:cs="Courier New" w:eastAsia="Courier New" w:hAnsi="Courier New"/>
          <w:sz w:val="18"/>
          <w:szCs w:val="18"/>
          <w:color w:val="auto"/>
        </w:rPr>
        <w:t>Company.</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1280" w:right="23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The Company is delinquent on its interest payments on its bank line of credit, its subordinated long term notes, most of its leases and most of its trade accounts payable. The Company has several judgments against it and several more threatened as a result of its inability to pay its obligations to its unsecured trade creditors. The judgments are all from unsecured creditors which the Company is no longer using for ongoing operations and the Company does not intend to pay these unsecured debts until its obligations to its secured creditors are satisfied. The Company currently feels that the best possibility it has available to repay its secured and unsecured creditors and to return value to its stockholders is to continue to operate the Company and to work out long term payment plans if it is able to do so in the future. While the Company does not expect that it will be forced into bankruptcy by its secured or unsecured creditors, there can be no assurance that this will not happen because of the Company's inability to meet its obligations to its creditors. The Company believes that a liquidation of its assets would only satisfy a small portion of the Company's obligations to its secured creditors and provide nothing for the Company's unsecured creditors or its stockholders.</w:t>
      </w:r>
    </w:p>
    <w:p>
      <w:pPr>
        <w:spacing w:after="0" w:line="396" w:lineRule="exact"/>
        <w:rPr>
          <w:sz w:val="20"/>
          <w:szCs w:val="20"/>
          <w:color w:val="auto"/>
        </w:rPr>
      </w:pPr>
    </w:p>
    <w:p>
      <w:pPr>
        <w:ind w:left="120" w:right="2199" w:hanging="104"/>
        <w:spacing w:after="0" w:line="268" w:lineRule="auto"/>
        <w:rPr>
          <w:sz w:val="20"/>
          <w:szCs w:val="20"/>
          <w:color w:val="auto"/>
        </w:rPr>
      </w:pPr>
      <w:r>
        <w:rPr>
          <w:rFonts w:ascii="Courier New" w:cs="Courier New" w:eastAsia="Courier New" w:hAnsi="Courier New"/>
          <w:sz w:val="16"/>
          <w:szCs w:val="16"/>
          <w:color w:val="auto"/>
        </w:rPr>
        <w:t>The Company's inventory of SoundXchange hardware, which, as of December 31, 1997, accounted for approximately 72.9% of the Company's current assets, is</w:t>
      </w:r>
    </w:p>
    <w:p>
      <w:pPr>
        <w:ind w:left="120" w:right="1999" w:hanging="104"/>
        <w:spacing w:after="0" w:line="235" w:lineRule="auto"/>
        <w:rPr>
          <w:sz w:val="20"/>
          <w:szCs w:val="20"/>
          <w:color w:val="auto"/>
        </w:rPr>
      </w:pPr>
      <w:r>
        <w:rPr>
          <w:rFonts w:ascii="Courier New" w:cs="Courier New" w:eastAsia="Courier New" w:hAnsi="Courier New"/>
          <w:sz w:val="18"/>
          <w:szCs w:val="18"/>
          <w:color w:val="auto"/>
        </w:rPr>
        <w:t>liquid only to the extent of the Company's sales of such product.</w:t>
      </w:r>
      <w:r>
        <w:rPr>
          <w:sz w:val="20"/>
          <w:szCs w:val="20"/>
          <w:color w:val="auto"/>
        </w:rPr>
        <w:t xml:space="preserve"> </w:t>
      </w:r>
      <w:r>
        <w:rPr>
          <w:rFonts w:ascii="Courier New" w:cs="Courier New" w:eastAsia="Courier New" w:hAnsi="Courier New"/>
          <w:sz w:val="18"/>
          <w:szCs w:val="18"/>
          <w:color w:val="auto"/>
        </w:rPr>
        <w:t>The Company has made minor engineering changes in the product in order to be able to</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utilize the inventory for newly developing markets and the Company hopes to continue to be able to do so in the future. Although there can be no guarantee that this will increase sales of the SoundXchange hardware, the Company believes that an increase in sales will occur allowing the Company to reduce its inventory of SoundXchange hardware at a profit.</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Company was also unable to pay its auditors in order to have audited financial statements for the years ended September 30, 1994, 1995, 1996 and 1997. The absence of audited financial statements may jeopardize the ability of the Company to continue as a reporting company and may jeopardize the ability for the Company's stock to continue to trade on the OTC Bulletin Board.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Revenue. Net sales for the three months ended December 31, 1997 and 1996 were $11,273 and $28,723, respectively. The Company's decrease in sale is attributable mainly to less demand for its SoundXchange Models A, B and BX.</w:t>
      </w:r>
    </w:p>
    <w:p>
      <w:pPr>
        <w:spacing w:after="0" w:line="17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Gross Profit.</w:t>
      </w:r>
      <w:r>
        <w:rPr>
          <w:sz w:val="20"/>
          <w:szCs w:val="20"/>
          <w:color w:val="auto"/>
        </w:rPr>
        <w:tab/>
      </w:r>
      <w:r>
        <w:rPr>
          <w:rFonts w:ascii="Courier New" w:cs="Courier New" w:eastAsia="Courier New" w:hAnsi="Courier New"/>
          <w:sz w:val="16"/>
          <w:szCs w:val="16"/>
          <w:color w:val="auto"/>
        </w:rPr>
        <w:t>The gross margin for the three months ended December 31,</w:t>
      </w:r>
    </w:p>
    <w:p>
      <w:pPr>
        <w:spacing w:after="0" w:line="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1997 was approximately 56%, up from a gross margin of 46% for the three months ended December 31, 1996. The increase from the previous year is due primarily to the higher gross profit margin realized from modifications to the Company's product line.</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Sales and marketing expenses. Sales and marketing expenses for the three months ended December 31, 1997 and 1996 were $11,000 and $19,000, respectively.</w:t>
      </w:r>
    </w:p>
    <w:p>
      <w:pPr>
        <w:spacing w:after="0" w:line="17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Research and development. Research and development expenses were 0 for the three months ended December 31, 1997. The Company does not have any employees currently engaged in research, product development and engineering, but the Company currently has access, through a temporary consulting arrangement with Torrey Pines Research (TPR), to former key research and development employees who are now employees of TPR. Although TPR is a stockholder of InterActive, and TPR has performed as a strategic partner in past development efforts of InterActive, there can be no assurance that TPR will in the future provide InterActive consulting services because of InterActive's current inability to pay for these consulting services. Amounts capitalized in connection with software development for the three months ended December 31, 1997 and 1996 were $0. Software development amortization expense for the three months ended December 31, 1997 and 1996 were $0 and $7,100, respectively. The Company believes that ongoing modifications to the Company's SoundXchange products is important to the long term viability of such products and the future revenues of the Company.</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General and administrative. General and administrative expenses for the three months ended December 31, 1997 and 1996 were $1,000 and $4,000, respectively.</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Depreciation and Amortization. Depreciation and amortization expenses for the three months ended December 31, 1997 and 1996 were $5,000 and $26,000, respectively.</w:t>
      </w:r>
    </w:p>
    <w:p>
      <w:pPr>
        <w:spacing w:after="0" w:line="209"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Nonoperating Income (Expense). Nonoperating income (expense) for the three months ended December 31, 1997 and 1996 were $(6,000) and $(7,000), respectively.</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Net Loss. The Company suffered a net loss for the three months ended December 31, 1997 of $17,000 or $0.01 per share on 3,156,291 weighted average shares outstanding compared to a net loss for the three months ended December 31, 1996 of $43,000 or $0.01 per share on 3,123,109 weighted average shares outstanding.</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Management believes that the largest challenges that the Company will continue to confront during 1998 are to obtain adequate financing and in achieving positive cash flow and profitability. While the Company is optimistic about the possibility of its overcoming these challenges and achieving its goals, there can be no assurance that it will be able to achieve any or all of its objectives.</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has several judgments against it and several more threatened as a result of its inability to pay its obligations to its unsecured trade creditors. The judgments are all from unsecured creditors which the Company is no longer using for on going operations and the Company does not intend to pay these unsecured debts until its obligations to its secured creditors are satisfied.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currently feels that the best possibility it has available to repay its secured and unsecured creditors and to return value to its stockholders is to continue to operate the Company and to work out long term payment plans if it is able to do so in the future. While the Company does not expect that it will be forced into bankruptcy by its secured or unsecured creditors, there can be no assurance that this will not happen because of the Company's inability to meet its obligations to its creditors. The Company believes that a liquidation of its assets would only satisfy a small portion of the Company's obligations to its secured creditors and provide nothing for the Company's unsecured creditors or its stockholders.</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ind w:left="96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ind w:left="96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ind w:left="96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ind w:left="96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1280" w:right="7999" w:hanging="535"/>
        <w:spacing w:after="0" w:line="290" w:lineRule="auto"/>
        <w:tabs>
          <w:tab w:leader="none" w:pos="12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None</w:t>
      </w:r>
    </w:p>
    <w:p>
      <w:pPr>
        <w:spacing w:after="0" w:line="169" w:lineRule="exact"/>
        <w:rPr>
          <w:rFonts w:ascii="Courier New" w:cs="Courier New" w:eastAsia="Courier New" w:hAnsi="Courier New"/>
          <w:sz w:val="16"/>
          <w:szCs w:val="16"/>
          <w:color w:val="auto"/>
        </w:rPr>
      </w:pPr>
    </w:p>
    <w:p>
      <w:pPr>
        <w:ind w:left="1160" w:right="6939" w:hanging="520"/>
        <w:spacing w:after="0" w:line="235"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ind w:left="296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In accordance with the requirements of the Exchange Act, the registrant caused this report to be signed on its behalf by the undersigned, thereunto duly authorized.</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4, 1998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INTERACTIVE INC.</w:t>
      </w:r>
    </w:p>
    <w:p>
      <w:pPr>
        <w:spacing w:after="0" w:line="200" w:lineRule="exact"/>
        <w:rPr>
          <w:sz w:val="20"/>
          <w:szCs w:val="20"/>
          <w:color w:val="auto"/>
        </w:rPr>
      </w:pPr>
    </w:p>
    <w:p>
      <w:pPr>
        <w:sectPr>
          <w:pgSz w:w="11900" w:h="16838" w:orient="portrait"/>
          <w:cols w:equalWidth="0" w:num="3">
            <w:col w:w="1160" w:space="220"/>
            <w:col w:w="2440" w:space="720"/>
            <w:col w:w="567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Robert Stahl</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Robert Stahl</w:t>
      </w:r>
    </w:p>
    <w:p>
      <w:pPr>
        <w:ind w:left="46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Gerard L. Kappenman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Gerard L. Kappenman</w:t>
      </w:r>
    </w:p>
    <w:p>
      <w:pPr>
        <w:ind w:left="4640"/>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605"/>
    </w:lvl>
  </w:abstractNum>
  <w:abstractNum w:abstractNumId="3">
    <w:nsid w:val="238E1F29"/>
    <w:multiLevelType w:val="hybridMultilevel"/>
    <w:lvl w:ilvl="0">
      <w:lvlJc w:val="left"/>
      <w:lvlText w:val="%1"/>
      <w:numFmt w:val="lowerLetter"/>
      <w:start w:val="1"/>
    </w:lvl>
    <w:lvl w:ilvl="1">
      <w:lvlJc w:val="left"/>
      <w:lvlText w:val="(%2)"/>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2019-12-13T20:48:42Z</dcterms:created>
  <dcterms:modified xsi:type="dcterms:W3CDTF">2019-12-13T20:48:42Z</dcterms:modified>
</cp:coreProperties>
</file>