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9"/>
        <w:spacing w:after="0"/>
        <w:rPr>
          <w:sz w:val="20"/>
          <w:szCs w:val="20"/>
          <w:color w:val="auto"/>
        </w:rPr>
      </w:pPr>
      <w:r>
        <w:rPr>
          <w:rFonts w:ascii="Courier New" w:cs="Courier New" w:eastAsia="Courier New" w:hAnsi="Courier New"/>
          <w:sz w:val="18"/>
          <w:szCs w:val="18"/>
          <w:color w:val="auto"/>
        </w:rPr>
        <w:t>U. S. SECURITIES AND EXCHANGE COMMISSION</w:t>
      </w:r>
    </w:p>
    <w:p>
      <w:pPr>
        <w:jc w:val="center"/>
        <w:ind w:right="1619"/>
        <w:spacing w:after="0"/>
        <w:tabs>
          <w:tab w:leader="none" w:pos="1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jc w:val="center"/>
        <w:ind w:right="1599"/>
        <w:spacing w:after="0" w:line="238" w:lineRule="auto"/>
        <w:rPr>
          <w:sz w:val="20"/>
          <w:szCs w:val="20"/>
          <w:color w:val="auto"/>
        </w:rPr>
      </w:pPr>
      <w:r>
        <w:rPr>
          <w:rFonts w:ascii="Courier New" w:cs="Courier New" w:eastAsia="Courier New" w:hAnsi="Courier New"/>
          <w:sz w:val="18"/>
          <w:szCs w:val="18"/>
          <w:color w:val="auto"/>
        </w:rPr>
        <w:t>FORM 10-KSB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(Mark</w:t>
        <w:tab/>
        <w:t>One)</w:t>
      </w:r>
    </w:p>
    <w:p>
      <w:pPr>
        <w:spacing w:after="0" w:line="4"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UNDER SECTION 13 OR 15(d) OF THE SECURITIES EXCHANGE ACT OF</w:t>
      </w:r>
    </w:p>
    <w:p>
      <w:pPr>
        <w:spacing w:after="0" w:line="1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1934 [FEE REQUIRED]</w:t>
      </w:r>
    </w:p>
    <w:p>
      <w:pPr>
        <w:sectPr>
          <w:pgSz w:w="11900" w:h="16838" w:orient="portrait"/>
          <w:cols w:equalWidth="0" w:num="1">
            <w:col w:w="10139"/>
          </w:cols>
          <w:pgMar w:left="320" w:top="243" w:right="1440" w:bottom="0" w:gutter="0" w:footer="0" w:header="0"/>
        </w:sectPr>
      </w:pPr>
    </w:p>
    <w:p>
      <w:pPr>
        <w:spacing w:after="0" w:line="4"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For the fiscal year ended September 30, 1999.</w:t>
      </w:r>
    </w:p>
    <w:p>
      <w:pPr>
        <w:sectPr>
          <w:pgSz w:w="11900" w:h="16838" w:orient="portrait"/>
          <w:cols w:equalWidth="0" w:num="1">
            <w:col w:w="10139"/>
          </w:cols>
          <w:pgMar w:left="320" w:top="243" w:right="1440" w:bottom="0" w:gutter="0" w:footer="0" w:header="0"/>
          <w:type w:val="continuous"/>
        </w:sect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tabs>
          <w:tab w:leader="none" w:pos="1240" w:val="left"/>
          <w:tab w:leader="none" w:pos="2080" w:val="left"/>
          <w:tab w:leader="none" w:pos="2800" w:val="left"/>
          <w:tab w:leader="none" w:pos="3760" w:val="left"/>
          <w:tab w:leader="none" w:pos="4180" w:val="left"/>
        </w:tabs>
        <w:rPr>
          <w:sz w:val="20"/>
          <w:szCs w:val="20"/>
          <w:color w:val="auto"/>
        </w:rPr>
      </w:pPr>
      <w:r>
        <w:rPr>
          <w:rFonts w:ascii="Courier New" w:cs="Courier New" w:eastAsia="Courier New" w:hAnsi="Courier New"/>
          <w:sz w:val="18"/>
          <w:szCs w:val="18"/>
          <w:color w:val="auto"/>
        </w:rPr>
        <w:t>TRANSITION</w:t>
        <w:tab/>
        <w:t>REPORT</w:t>
        <w:tab/>
        <w:t>UNDER</w:t>
        <w:tab/>
        <w:t>SECTION</w:t>
        <w:tab/>
        <w:t>13</w:t>
      </w:r>
      <w:r>
        <w:rPr>
          <w:sz w:val="20"/>
          <w:szCs w:val="20"/>
          <w:color w:val="auto"/>
        </w:rPr>
        <w:tab/>
      </w:r>
      <w:r>
        <w:rPr>
          <w:rFonts w:ascii="Courier New" w:cs="Courier New" w:eastAsia="Courier New" w:hAnsi="Courier New"/>
          <w:sz w:val="16"/>
          <w:szCs w:val="16"/>
          <w:color w:val="auto"/>
        </w:rPr>
        <w:t>OR 15(d) OF THE SECURITIES EXCHANGE</w:t>
      </w:r>
    </w:p>
    <w:p>
      <w:pPr>
        <w:spacing w:after="0" w:line="237" w:lineRule="auto"/>
        <w:rPr>
          <w:sz w:val="20"/>
          <w:szCs w:val="20"/>
          <w:color w:val="auto"/>
        </w:rPr>
      </w:pPr>
      <w:r>
        <w:rPr>
          <w:rFonts w:ascii="Courier New" w:cs="Courier New" w:eastAsia="Courier New" w:hAnsi="Courier New"/>
          <w:sz w:val="18"/>
          <w:szCs w:val="18"/>
          <w:color w:val="auto"/>
        </w:rPr>
        <w:t>ACT OF 1934 [NO FEE REQUIRED]</w:t>
      </w:r>
    </w:p>
    <w:p>
      <w:pPr>
        <w:spacing w:after="0" w:line="5"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For the transition period from _____________ to _____________</w:t>
      </w:r>
    </w:p>
    <w:p>
      <w:pPr>
        <w:spacing w:after="0" w:line="200" w:lineRule="exact"/>
        <w:rPr>
          <w:sz w:val="24"/>
          <w:szCs w:val="24"/>
          <w:color w:val="auto"/>
        </w:rPr>
      </w:pPr>
    </w:p>
    <w:p>
      <w:pPr>
        <w:sectPr>
          <w:pgSz w:w="11900" w:h="16838" w:orient="portrait"/>
          <w:cols w:equalWidth="0" w:num="2">
            <w:col w:w="320" w:space="220"/>
            <w:col w:w="9599"/>
          </w:cols>
          <w:pgMar w:left="320" w:top="243" w:right="1440" w:bottom="0" w:gutter="0" w:footer="0" w:header="0"/>
          <w:type w:val="continuous"/>
        </w:sectPr>
      </w:pPr>
    </w:p>
    <w:p>
      <w:pPr>
        <w:spacing w:after="0" w:line="23"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000-21898</w:t>
      </w:r>
    </w:p>
    <w:p>
      <w:pPr>
        <w:spacing w:after="0" w:line="200" w:lineRule="exact"/>
        <w:rPr>
          <w:sz w:val="24"/>
          <w:szCs w:val="24"/>
          <w:color w:val="auto"/>
        </w:rPr>
      </w:pPr>
    </w:p>
    <w:p>
      <w:pPr>
        <w:sectPr>
          <w:pgSz w:w="11900" w:h="16838" w:orient="portrait"/>
          <w:cols w:equalWidth="0" w:num="2">
            <w:col w:w="4740" w:space="420"/>
            <w:col w:w="4979"/>
          </w:cols>
          <w:pgMar w:left="320" w:top="243" w:right="1440" w:bottom="0" w:gutter="0" w:footer="0" w:header="0"/>
          <w:type w:val="continuous"/>
        </w:sectPr>
      </w:pPr>
    </w:p>
    <w:p>
      <w:pPr>
        <w:spacing w:after="0" w:line="17"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8"/>
          <w:szCs w:val="18"/>
          <w:color w:val="auto"/>
        </w:rPr>
        <w:t>InterActive Inc.</w:t>
      </w:r>
    </w:p>
    <w:p>
      <w:pPr>
        <w:spacing w:after="0" w:line="4"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6"/>
          <w:szCs w:val="16"/>
          <w:color w:val="auto"/>
        </w:rPr>
        <w:t>(Name of small business issuer in its charter)</w:t>
      </w:r>
    </w:p>
    <w:p>
      <w:pPr>
        <w:sectPr>
          <w:pgSz w:w="11900" w:h="16838" w:orient="portrait"/>
          <w:cols w:equalWidth="0" w:num="1">
            <w:col w:w="10139"/>
          </w:cols>
          <w:pgMar w:left="320" w:top="243" w:right="1440" w:bottom="0" w:gutter="0" w:footer="0" w:header="0"/>
          <w:type w:val="continuous"/>
        </w:sectPr>
      </w:pPr>
    </w:p>
    <w:p>
      <w:pPr>
        <w:spacing w:after="0" w:line="217"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South Dakota</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ind w:left="1460"/>
        <w:spacing w:after="0"/>
        <w:rPr>
          <w:sz w:val="20"/>
          <w:szCs w:val="20"/>
          <w:color w:val="auto"/>
        </w:rPr>
      </w:pPr>
      <w:r>
        <w:rPr>
          <w:rFonts w:ascii="Courier New" w:cs="Courier New" w:eastAsia="Courier New" w:hAnsi="Courier New"/>
          <w:sz w:val="18"/>
          <w:szCs w:val="18"/>
          <w:color w:val="auto"/>
        </w:rPr>
        <w:t>46-0408024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920" w:space="720"/>
            <w:col w:w="5499"/>
          </w:cols>
          <w:pgMar w:left="320" w:top="243" w:right="1440" w:bottom="0" w:gutter="0" w:footer="0" w:header="0"/>
          <w:type w:val="continuous"/>
        </w:sectPr>
      </w:pPr>
    </w:p>
    <w:p>
      <w:pPr>
        <w:spacing w:after="0" w:line="21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204 North Main</w:t>
      </w:r>
    </w:p>
    <w:p>
      <w:pPr>
        <w:ind w:left="3260"/>
        <w:spacing w:after="0"/>
        <w:tabs>
          <w:tab w:leader="none" w:pos="4720" w:val="left"/>
        </w:tabs>
        <w:rPr>
          <w:sz w:val="20"/>
          <w:szCs w:val="20"/>
          <w:color w:val="auto"/>
        </w:rPr>
      </w:pPr>
      <w:r>
        <w:rPr>
          <w:rFonts w:ascii="Courier New" w:cs="Courier New" w:eastAsia="Courier New" w:hAnsi="Courier New"/>
          <w:sz w:val="18"/>
          <w:szCs w:val="18"/>
          <w:color w:val="auto"/>
        </w:rPr>
        <w:t>Humboldt, SD</w:t>
      </w:r>
      <w:r>
        <w:rPr>
          <w:sz w:val="20"/>
          <w:szCs w:val="20"/>
          <w:color w:val="auto"/>
        </w:rPr>
        <w:tab/>
      </w:r>
      <w:r>
        <w:rPr>
          <w:rFonts w:ascii="Courier New" w:cs="Courier New" w:eastAsia="Courier New" w:hAnsi="Courier New"/>
          <w:sz w:val="16"/>
          <w:szCs w:val="16"/>
          <w:color w:val="auto"/>
        </w:rPr>
        <w:t>57035</w:t>
      </w:r>
    </w:p>
    <w:p>
      <w:pPr>
        <w:ind w:left="3480"/>
        <w:spacing w:after="0" w:line="238" w:lineRule="auto"/>
        <w:rPr>
          <w:sz w:val="20"/>
          <w:szCs w:val="20"/>
          <w:color w:val="auto"/>
        </w:rPr>
      </w:pPr>
      <w:r>
        <w:rPr>
          <w:rFonts w:ascii="Courier New" w:cs="Courier New" w:eastAsia="Courier New" w:hAnsi="Courier New"/>
          <w:sz w:val="18"/>
          <w:szCs w:val="18"/>
          <w:color w:val="auto"/>
        </w:rPr>
        <w:t>(605) 363-5117</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(Address and telephone number of principal executive offices)</w:t>
      </w:r>
    </w:p>
    <w:p>
      <w:pPr>
        <w:sectPr>
          <w:pgSz w:w="11900" w:h="16838" w:orient="portrait"/>
          <w:cols w:equalWidth="0" w:num="1">
            <w:col w:w="10139"/>
          </w:cols>
          <w:pgMar w:left="320" w:top="243" w:right="1440" w:bottom="0" w:gutter="0" w:footer="0" w:header="0"/>
          <w:type w:val="continuous"/>
        </w:sect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under</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12(b)</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Exchange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Act:</w:t>
      </w:r>
    </w:p>
    <w:p>
      <w:pPr>
        <w:spacing w:after="0" w:line="216" w:lineRule="exact"/>
        <w:rPr>
          <w:sz w:val="24"/>
          <w:szCs w:val="24"/>
          <w:color w:val="auto"/>
        </w:rPr>
      </w:pPr>
    </w:p>
    <w:p>
      <w:pPr>
        <w:sectPr>
          <w:pgSz w:w="11900" w:h="16838" w:orient="portrait"/>
          <w:cols w:equalWidth="0" w:num="9">
            <w:col w:w="1060" w:space="200"/>
            <w:col w:w="1060" w:space="200"/>
            <w:col w:w="540" w:space="200"/>
            <w:col w:w="740" w:space="200"/>
            <w:col w:w="540" w:space="200"/>
            <w:col w:w="220" w:space="200"/>
            <w:col w:w="320" w:space="220"/>
            <w:col w:w="840" w:space="200"/>
            <w:col w:w="3199"/>
          </w:cols>
          <w:pgMar w:left="320" w:top="243" w:right="1440" w:bottom="0" w:gutter="0" w:footer="0" w:header="0"/>
          <w:type w:val="continuous"/>
        </w:sectPr>
      </w:pPr>
    </w:p>
    <w:p>
      <w:pPr>
        <w:spacing w:after="0" w:line="6"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Title of each class</w:t>
      </w:r>
    </w:p>
    <w:p>
      <w:pPr>
        <w:spacing w:after="0" w:line="15"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Name of each exchange on which registered</w:t>
      </w:r>
    </w:p>
    <w:p>
      <w:pPr>
        <w:spacing w:after="0" w:line="15" w:lineRule="exact"/>
        <w:rPr>
          <w:sz w:val="24"/>
          <w:szCs w:val="24"/>
          <w:color w:val="auto"/>
        </w:rPr>
      </w:pPr>
    </w:p>
    <w:p>
      <w:pPr>
        <w:ind w:left="168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ectPr>
          <w:pgSz w:w="11900" w:h="16838" w:orient="portrait"/>
          <w:cols w:equalWidth="0" w:num="2">
            <w:col w:w="3180" w:space="720"/>
            <w:col w:w="6239"/>
          </w:cols>
          <w:pgMar w:left="320" w:top="243" w:right="1440" w:bottom="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pursuant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8"/>
          <w:szCs w:val="18"/>
          <w:color w:val="auto"/>
        </w:rPr>
        <w:t>12(g)</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Act:</w:t>
      </w:r>
    </w:p>
    <w:p>
      <w:pPr>
        <w:spacing w:after="0" w:line="216" w:lineRule="exact"/>
        <w:rPr>
          <w:sz w:val="24"/>
          <w:szCs w:val="24"/>
          <w:color w:val="auto"/>
        </w:rPr>
      </w:pPr>
    </w:p>
    <w:p>
      <w:pPr>
        <w:sectPr>
          <w:pgSz w:w="11900" w:h="16838" w:orient="portrait"/>
          <w:cols w:equalWidth="0" w:num="10">
            <w:col w:w="1060" w:space="200"/>
            <w:col w:w="1060" w:space="200"/>
            <w:col w:w="840" w:space="220"/>
            <w:col w:w="200" w:space="220"/>
            <w:col w:w="740" w:space="200"/>
            <w:col w:w="540" w:space="200"/>
            <w:col w:w="220" w:space="200"/>
            <w:col w:w="320" w:space="200"/>
            <w:col w:w="840" w:space="220"/>
            <w:col w:w="2459"/>
          </w:cols>
          <w:pgMar w:left="320" w:top="243" w:right="1440" w:bottom="0" w:gutter="0" w:footer="0" w:header="0"/>
          <w:type w:val="continuous"/>
        </w:sectPr>
      </w:pPr>
    </w:p>
    <w:p>
      <w:pPr>
        <w:spacing w:after="0" w:line="208"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$.001</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par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value</w:t>
      </w:r>
    </w:p>
    <w:p>
      <w:pPr>
        <w:spacing w:after="0" w:line="200" w:lineRule="exact"/>
        <w:rPr>
          <w:sz w:val="24"/>
          <w:szCs w:val="24"/>
          <w:color w:val="auto"/>
        </w:rPr>
      </w:pPr>
    </w:p>
    <w:p>
      <w:pPr>
        <w:sectPr>
          <w:pgSz w:w="11900" w:h="16838" w:orient="portrait"/>
          <w:cols w:equalWidth="0" w:num="5">
            <w:col w:w="1160" w:space="220"/>
            <w:col w:w="620" w:space="220"/>
            <w:col w:w="520" w:space="200"/>
            <w:col w:w="320" w:space="220"/>
            <w:col w:w="6659"/>
          </w:cols>
          <w:pgMar w:left="320" w:top="243" w:right="1440" w:bottom="0" w:gutter="0" w:footer="0" w:header="0"/>
          <w:type w:val="continuous"/>
        </w:sectPr>
      </w:pPr>
    </w:p>
    <w:p>
      <w:pPr>
        <w:spacing w:after="0" w:line="225" w:lineRule="exact"/>
        <w:rPr>
          <w:sz w:val="24"/>
          <w:szCs w:val="24"/>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sectPr>
          <w:pgSz w:w="11900" w:h="16838" w:orient="portrait"/>
          <w:cols w:equalWidth="0" w:num="1">
            <w:col w:w="10139"/>
          </w:cols>
          <w:pgMar w:left="320" w:top="243" w:right="1440" w:bottom="0" w:gutter="0" w:footer="0" w:header="0"/>
          <w:type w:val="continuous"/>
        </w:sectPr>
      </w:pPr>
    </w:p>
    <w:p>
      <w:pPr>
        <w:spacing w:after="0" w:line="6" w:lineRule="exact"/>
        <w:rPr>
          <w:sz w:val="24"/>
          <w:szCs w:val="24"/>
          <w:color w:val="auto"/>
        </w:rPr>
      </w:pPr>
    </w:p>
    <w:p>
      <w:pPr>
        <w:jc w:val="both"/>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Yes</w:t>
        <w:tab/>
        <w:t>X No ---</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2">
            <w:col w:w="1260" w:space="120"/>
            <w:col w:w="8759"/>
          </w:cols>
          <w:pgMar w:left="320" w:top="243" w:right="1440" w:bottom="0" w:gutter="0" w:footer="0" w:header="0"/>
          <w:type w:val="continuous"/>
        </w:sectPr>
      </w:pPr>
    </w:p>
    <w:p>
      <w:pPr>
        <w:spacing w:after="0" w:line="7" w:lineRule="exact"/>
        <w:rPr>
          <w:sz w:val="24"/>
          <w:szCs w:val="24"/>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Check if disclosure of delinquent filers in response to item 405 of Regulation S-B is not contained in this form, and no disclosure will be contained, to the best of registrant's knowledge, in definitive proxy or</w:t>
      </w:r>
    </w:p>
    <w:p>
      <w:pPr>
        <w:sectPr>
          <w:pgSz w:w="11900" w:h="16838" w:orient="portrait"/>
          <w:cols w:equalWidth="0" w:num="1">
            <w:col w:w="10139"/>
          </w:cols>
          <w:pgMar w:left="320" w:top="243" w:right="1440" w:bottom="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6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6"/>
              </w:rPr>
              <w:t>information statements incorporated</w:t>
            </w:r>
          </w:p>
        </w:tc>
        <w:tc>
          <w:tcPr>
            <w:tcW w:w="474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by reference in Part III of this Form 10-KSB</w:t>
            </w:r>
          </w:p>
        </w:tc>
      </w:tr>
      <w:tr>
        <w:trPr>
          <w:trHeight w:val="202"/>
        </w:trPr>
        <w:tc>
          <w:tcPr>
            <w:tcW w:w="3680" w:type="dxa"/>
            <w:vAlign w:val="bottom"/>
            <w:gridSpan w:val="6"/>
          </w:tcPr>
          <w:p>
            <w:pPr>
              <w:spacing w:after="0" w:line="202" w:lineRule="exact"/>
              <w:rPr>
                <w:sz w:val="20"/>
                <w:szCs w:val="20"/>
                <w:color w:val="auto"/>
              </w:rPr>
            </w:pPr>
            <w:r>
              <w:rPr>
                <w:rFonts w:ascii="Courier New" w:cs="Courier New" w:eastAsia="Courier New" w:hAnsi="Courier New"/>
                <w:sz w:val="18"/>
                <w:szCs w:val="18"/>
                <w:color w:val="auto"/>
                <w:w w:val="99"/>
              </w:rPr>
              <w:t>or  any  amendment  to  this  Form</w:t>
            </w:r>
          </w:p>
        </w:tc>
        <w:tc>
          <w:tcPr>
            <w:tcW w:w="90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10-KSB</w:t>
            </w:r>
          </w:p>
        </w:tc>
        <w:tc>
          <w:tcPr>
            <w:tcW w:w="48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w w:val="92"/>
              </w:rPr>
              <w:t>[X].</w:t>
            </w:r>
          </w:p>
        </w:tc>
        <w:tc>
          <w:tcPr>
            <w:tcW w:w="3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4"/>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rPr>
              <w:t>Issuer's  revenues</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for</w:t>
            </w: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2"/>
              </w:rPr>
              <w:t>its</w:t>
            </w:r>
          </w:p>
        </w:tc>
        <w:tc>
          <w:tcPr>
            <w:tcW w:w="580" w:type="dxa"/>
            <w:vAlign w:val="bottom"/>
          </w:tcPr>
          <w:p>
            <w:pPr>
              <w:jc w:val="center"/>
              <w:spacing w:after="0"/>
              <w:rPr>
                <w:sz w:val="20"/>
                <w:szCs w:val="20"/>
                <w:color w:val="auto"/>
              </w:rPr>
            </w:pPr>
            <w:r>
              <w:rPr>
                <w:rFonts w:ascii="Courier New" w:cs="Courier New" w:eastAsia="Courier New" w:hAnsi="Courier New"/>
                <w:sz w:val="18"/>
                <w:szCs w:val="18"/>
                <w:color w:val="auto"/>
                <w:w w:val="97"/>
              </w:rPr>
              <w:t>most</w:t>
            </w:r>
          </w:p>
        </w:tc>
        <w:tc>
          <w:tcPr>
            <w:tcW w:w="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recent</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fiscal</w:t>
            </w:r>
          </w:p>
        </w:tc>
        <w:tc>
          <w:tcPr>
            <w:tcW w:w="3000" w:type="dxa"/>
            <w:vAlign w:val="bottom"/>
          </w:tcPr>
          <w:p>
            <w:pPr>
              <w:jc w:val="right"/>
              <w:ind w:right="1392"/>
              <w:spacing w:after="0"/>
              <w:rPr>
                <w:sz w:val="20"/>
                <w:szCs w:val="20"/>
                <w:color w:val="auto"/>
              </w:rPr>
            </w:pPr>
            <w:r>
              <w:rPr>
                <w:rFonts w:ascii="Courier New" w:cs="Courier New" w:eastAsia="Courier New" w:hAnsi="Courier New"/>
                <w:sz w:val="18"/>
                <w:szCs w:val="18"/>
                <w:color w:val="auto"/>
                <w:w w:val="99"/>
              </w:rPr>
              <w:t>year  $36,998.</w:t>
            </w:r>
          </w:p>
        </w:tc>
      </w:tr>
      <w:tr>
        <w:trPr>
          <w:trHeight w:val="404"/>
        </w:trPr>
        <w:tc>
          <w:tcPr>
            <w:tcW w:w="42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market</w:t>
            </w: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9"/>
              </w:rPr>
              <w:t>value</w:t>
            </w:r>
          </w:p>
        </w:tc>
        <w:tc>
          <w:tcPr>
            <w:tcW w:w="580" w:type="dxa"/>
            <w:vAlign w:val="bottom"/>
          </w:tcPr>
          <w:p>
            <w:pPr>
              <w:jc w:val="center"/>
              <w:spacing w:after="0"/>
              <w:rPr>
                <w:sz w:val="20"/>
                <w:szCs w:val="20"/>
                <w:color w:val="auto"/>
              </w:rPr>
            </w:pPr>
            <w:r>
              <w:rPr>
                <w:rFonts w:ascii="Courier New" w:cs="Courier New" w:eastAsia="Courier New" w:hAnsi="Courier New"/>
                <w:sz w:val="18"/>
                <w:szCs w:val="18"/>
                <w:color w:val="auto"/>
              </w:rPr>
              <w:t>of</w:t>
            </w:r>
          </w:p>
        </w:tc>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the</w:t>
            </w:r>
          </w:p>
        </w:tc>
        <w:tc>
          <w:tcPr>
            <w:tcW w:w="1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voting</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w w:val="96"/>
              </w:rPr>
              <w:t>stock  (Common  stock)  held  by</w:t>
            </w:r>
          </w:p>
        </w:tc>
      </w:tr>
      <w:tr>
        <w:trPr>
          <w:trHeight w:val="202"/>
        </w:trPr>
        <w:tc>
          <w:tcPr>
            <w:tcW w:w="15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non-affiliates</w:t>
            </w:r>
          </w:p>
        </w:tc>
        <w:tc>
          <w:tcPr>
            <w:tcW w:w="42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w w:val="92"/>
              </w:rPr>
              <w:t>was</w:t>
            </w:r>
          </w:p>
        </w:tc>
        <w:tc>
          <w:tcPr>
            <w:tcW w:w="2580" w:type="dxa"/>
            <w:vAlign w:val="bottom"/>
            <w:gridSpan w:val="5"/>
          </w:tcPr>
          <w:p>
            <w:pPr>
              <w:jc w:val="center"/>
              <w:ind w:left="72"/>
              <w:spacing w:after="0" w:line="202" w:lineRule="exact"/>
              <w:rPr>
                <w:sz w:val="20"/>
                <w:szCs w:val="20"/>
                <w:color w:val="auto"/>
              </w:rPr>
            </w:pPr>
            <w:r>
              <w:rPr>
                <w:rFonts w:ascii="Courier New" w:cs="Courier New" w:eastAsia="Courier New" w:hAnsi="Courier New"/>
                <w:sz w:val="18"/>
                <w:szCs w:val="18"/>
                <w:color w:val="auto"/>
                <w:w w:val="96"/>
              </w:rPr>
              <w:t>approximately $158,753</w:t>
            </w:r>
          </w:p>
        </w:tc>
        <w:tc>
          <w:tcPr>
            <w:tcW w:w="3840" w:type="dxa"/>
            <w:vAlign w:val="bottom"/>
            <w:gridSpan w:val="3"/>
          </w:tcPr>
          <w:p>
            <w:pPr>
              <w:ind w:left="60"/>
              <w:spacing w:after="0" w:line="202" w:lineRule="exact"/>
              <w:rPr>
                <w:sz w:val="20"/>
                <w:szCs w:val="20"/>
                <w:color w:val="auto"/>
              </w:rPr>
            </w:pPr>
            <w:r>
              <w:rPr>
                <w:rFonts w:ascii="Courier New" w:cs="Courier New" w:eastAsia="Courier New" w:hAnsi="Courier New"/>
                <w:sz w:val="18"/>
                <w:szCs w:val="18"/>
                <w:color w:val="auto"/>
                <w:w w:val="96"/>
              </w:rPr>
              <w:t>based upon the closing sale price of</w:t>
            </w:r>
          </w:p>
        </w:tc>
      </w:tr>
      <w:tr>
        <w:trPr>
          <w:trHeight w:val="202"/>
        </w:trPr>
        <w:tc>
          <w:tcPr>
            <w:tcW w:w="420" w:type="dxa"/>
            <w:vAlign w:val="bottom"/>
          </w:tcPr>
          <w:p>
            <w:pPr>
              <w:spacing w:after="0" w:line="202" w:lineRule="exact"/>
              <w:rPr>
                <w:sz w:val="20"/>
                <w:szCs w:val="20"/>
                <w:color w:val="auto"/>
              </w:rPr>
            </w:pPr>
            <w:r>
              <w:rPr>
                <w:rFonts w:ascii="Courier New" w:cs="Courier New" w:eastAsia="Courier New" w:hAnsi="Courier New"/>
                <w:sz w:val="18"/>
                <w:szCs w:val="18"/>
                <w:color w:val="auto"/>
              </w:rPr>
              <w:t>the</w:t>
            </w:r>
          </w:p>
        </w:tc>
        <w:tc>
          <w:tcPr>
            <w:tcW w:w="15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rPr>
              <w:t>Registrant's</w:t>
            </w:r>
          </w:p>
        </w:tc>
        <w:tc>
          <w:tcPr>
            <w:tcW w:w="2000" w:type="dxa"/>
            <w:vAlign w:val="bottom"/>
            <w:gridSpan w:val="4"/>
          </w:tcPr>
          <w:p>
            <w:pPr>
              <w:spacing w:after="0" w:line="202" w:lineRule="exact"/>
              <w:rPr>
                <w:sz w:val="20"/>
                <w:szCs w:val="20"/>
                <w:color w:val="auto"/>
              </w:rPr>
            </w:pPr>
            <w:r>
              <w:rPr>
                <w:rFonts w:ascii="Courier New" w:cs="Courier New" w:eastAsia="Courier New" w:hAnsi="Courier New"/>
                <w:sz w:val="18"/>
                <w:szCs w:val="18"/>
                <w:color w:val="auto"/>
              </w:rPr>
              <w:t>Common  Stock  on</w:t>
            </w:r>
          </w:p>
        </w:tc>
        <w:tc>
          <w:tcPr>
            <w:tcW w:w="1060" w:type="dxa"/>
            <w:vAlign w:val="bottom"/>
            <w:gridSpan w:val="2"/>
          </w:tcPr>
          <w:p>
            <w:pPr>
              <w:jc w:val="right"/>
              <w:ind w:right="132"/>
              <w:spacing w:after="0" w:line="202" w:lineRule="exact"/>
              <w:rPr>
                <w:sz w:val="20"/>
                <w:szCs w:val="20"/>
                <w:color w:val="auto"/>
              </w:rPr>
            </w:pPr>
            <w:r>
              <w:rPr>
                <w:rFonts w:ascii="Courier New" w:cs="Courier New" w:eastAsia="Courier New" w:hAnsi="Courier New"/>
                <w:sz w:val="18"/>
                <w:szCs w:val="18"/>
                <w:color w:val="auto"/>
                <w:w w:val="94"/>
              </w:rPr>
              <w:t>December</w:t>
            </w:r>
          </w:p>
        </w:tc>
        <w:tc>
          <w:tcPr>
            <w:tcW w:w="360" w:type="dxa"/>
            <w:vAlign w:val="bottom"/>
          </w:tcPr>
          <w:p>
            <w:pPr>
              <w:spacing w:after="0" w:line="202" w:lineRule="exact"/>
              <w:rPr>
                <w:sz w:val="20"/>
                <w:szCs w:val="20"/>
                <w:color w:val="auto"/>
              </w:rPr>
            </w:pPr>
            <w:r>
              <w:rPr>
                <w:rFonts w:ascii="Courier New" w:cs="Courier New" w:eastAsia="Courier New" w:hAnsi="Courier New"/>
                <w:sz w:val="18"/>
                <w:szCs w:val="18"/>
                <w:color w:val="auto"/>
              </w:rPr>
              <w:t>21,</w:t>
            </w:r>
          </w:p>
        </w:tc>
        <w:tc>
          <w:tcPr>
            <w:tcW w:w="3000" w:type="dxa"/>
            <w:vAlign w:val="bottom"/>
          </w:tcPr>
          <w:p>
            <w:pPr>
              <w:jc w:val="right"/>
              <w:ind w:right="2232"/>
              <w:spacing w:after="0" w:line="202" w:lineRule="exact"/>
              <w:rPr>
                <w:sz w:val="20"/>
                <w:szCs w:val="20"/>
                <w:color w:val="auto"/>
              </w:rPr>
            </w:pPr>
            <w:r>
              <w:rPr>
                <w:rFonts w:ascii="Courier New" w:cs="Courier New" w:eastAsia="Courier New" w:hAnsi="Courier New"/>
                <w:sz w:val="18"/>
                <w:szCs w:val="18"/>
                <w:color w:val="auto"/>
              </w:rPr>
              <w:t>1999.</w:t>
            </w:r>
          </w:p>
        </w:tc>
      </w:tr>
    </w:tbl>
    <w:p>
      <w:pPr>
        <w:spacing w:after="0" w:line="206" w:lineRule="exact"/>
        <w:rPr>
          <w:sz w:val="24"/>
          <w:szCs w:val="24"/>
          <w:color w:val="auto"/>
        </w:rPr>
      </w:pPr>
    </w:p>
    <w:p>
      <w:pPr>
        <w:jc w:val="both"/>
        <w:ind w:right="1719"/>
        <w:spacing w:after="0" w:line="235" w:lineRule="auto"/>
        <w:rPr>
          <w:sz w:val="20"/>
          <w:szCs w:val="20"/>
          <w:color w:val="auto"/>
        </w:rPr>
      </w:pPr>
      <w:r>
        <w:rPr>
          <w:rFonts w:ascii="Courier New" w:cs="Courier New" w:eastAsia="Courier New" w:hAnsi="Courier New"/>
          <w:sz w:val="18"/>
          <w:szCs w:val="18"/>
          <w:color w:val="auto"/>
        </w:rPr>
        <w:t>As of December 21, 1999 there were 5,012,138 shares of the issuer's common stock outstanding.</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PART</w:t>
      </w:r>
      <w:r>
        <w:rPr>
          <w:sz w:val="20"/>
          <w:szCs w:val="20"/>
          <w:color w:val="auto"/>
        </w:rPr>
        <w:tab/>
      </w:r>
      <w:r>
        <w:rPr>
          <w:rFonts w:ascii="Courier New" w:cs="Courier New" w:eastAsia="Courier New" w:hAnsi="Courier New"/>
          <w:sz w:val="16"/>
          <w:szCs w:val="16"/>
          <w:color w:val="auto"/>
        </w:rPr>
        <w:t>I</w:t>
      </w:r>
    </w:p>
    <w:p>
      <w:pPr>
        <w:spacing w:after="0" w:line="200" w:lineRule="exact"/>
        <w:rPr>
          <w:sz w:val="24"/>
          <w:szCs w:val="24"/>
          <w:color w:val="auto"/>
        </w:rPr>
      </w:pPr>
    </w:p>
    <w:p>
      <w:pPr>
        <w:spacing w:after="0"/>
        <w:tabs>
          <w:tab w:leader="none" w:pos="620" w:val="left"/>
          <w:tab w:leader="none" w:pos="1040" w:val="left"/>
          <w:tab w:leader="none" w:pos="2400" w:val="left"/>
          <w:tab w:leader="none" w:pos="2820" w:val="left"/>
        </w:tabs>
        <w:rPr>
          <w:sz w:val="20"/>
          <w:szCs w:val="20"/>
          <w:color w:val="auto"/>
        </w:rPr>
      </w:pPr>
      <w:r>
        <w:rPr>
          <w:rFonts w:ascii="Courier New" w:cs="Courier New" w:eastAsia="Courier New" w:hAnsi="Courier New"/>
          <w:sz w:val="18"/>
          <w:szCs w:val="18"/>
          <w:color w:val="auto"/>
        </w:rPr>
        <w:t>ITEM</w:t>
        <w:tab/>
        <w:t>1.</w:t>
        <w:tab/>
        <w:t>DESCRIPTION</w:t>
        <w:tab/>
        <w:t>OF</w:t>
      </w:r>
      <w:r>
        <w:rPr>
          <w:sz w:val="20"/>
          <w:szCs w:val="20"/>
          <w:color w:val="auto"/>
        </w:rPr>
        <w:tab/>
      </w:r>
      <w:r>
        <w:rPr>
          <w:rFonts w:ascii="Courier New" w:cs="Courier New" w:eastAsia="Courier New" w:hAnsi="Courier New"/>
          <w:sz w:val="16"/>
          <w:szCs w:val="16"/>
          <w:color w:val="auto"/>
        </w:rPr>
        <w:t>BUSINESS</w:t>
      </w:r>
    </w:p>
    <w:p>
      <w:pPr>
        <w:spacing w:after="0" w:line="206" w:lineRule="exact"/>
        <w:rPr>
          <w:sz w:val="24"/>
          <w:szCs w:val="24"/>
          <w:color w:val="auto"/>
        </w:rPr>
      </w:pPr>
    </w:p>
    <w:p>
      <w:pPr>
        <w:ind w:right="1719" w:firstLine="525"/>
        <w:spacing w:after="0" w:line="269" w:lineRule="auto"/>
        <w:rPr>
          <w:sz w:val="20"/>
          <w:szCs w:val="20"/>
          <w:color w:val="auto"/>
        </w:rPr>
      </w:pPr>
      <w:r>
        <w:rPr>
          <w:rFonts w:ascii="Courier New" w:cs="Courier New" w:eastAsia="Courier New" w:hAnsi="Courier New"/>
          <w:sz w:val="16"/>
          <w:szCs w:val="16"/>
          <w:color w:val="auto"/>
        </w:rPr>
        <w:t>Prior to 1994, InterActive Inc. ("InterActive" or the "Company") was engaged in the development, manufacture and marketing, nationally and internationally, of peripheral hardware products, principally a line of SoundXchange products, that were designed to enable users to create and send messages across local area networks and wide area networks of personal computers. In 1994, the Company substantially reduced its operations and, since that time, except for sporadic sales of SoundXchange products from existing inventories, the Company has not conducted any significant operations. See Item 6, "Management's Discussion and Analysis or Plan of Operations." In 1997, in an effort to generate additional sales of its inventory of existing products, the Company began modifying certain SoundXchange products in its inventory for use in kiosks for banks and security systems to exchange audio messages over the</w:t>
      </w:r>
    </w:p>
    <w:p>
      <w:pPr>
        <w:sectPr>
          <w:pgSz w:w="11900" w:h="16838" w:orient="portrait"/>
          <w:cols w:equalWidth="0" w:num="1">
            <w:col w:w="10139"/>
          </w:cols>
          <w:pgMar w:left="320" w:top="243" w:right="1440" w:bottom="0" w:gutter="0" w:footer="0" w:header="0"/>
          <w:type w:val="continuous"/>
        </w:sectPr>
      </w:pPr>
    </w:p>
    <w:bookmarkStart w:id="1" w:name="page2"/>
    <w:bookmarkEnd w:id="1"/>
    <w:p>
      <w:pPr>
        <w:jc w:val="both"/>
        <w:ind w:right="1719"/>
        <w:spacing w:after="0" w:line="236" w:lineRule="auto"/>
        <w:rPr>
          <w:sz w:val="20"/>
          <w:szCs w:val="20"/>
          <w:color w:val="auto"/>
        </w:rPr>
      </w:pPr>
      <w:r>
        <w:rPr>
          <w:rFonts w:ascii="Courier New" w:cs="Courier New" w:eastAsia="Courier New" w:hAnsi="Courier New"/>
          <w:sz w:val="18"/>
          <w:szCs w:val="18"/>
          <w:color w:val="auto"/>
        </w:rPr>
        <w:t>Internet. However, at present, the Company is not involved in the production of any products or providing services on a significant level, and is evaluating alternative plans for future operations as discussed below.</w:t>
      </w:r>
    </w:p>
    <w:p>
      <w:pPr>
        <w:spacing w:after="0" w:line="207" w:lineRule="exact"/>
        <w:rPr>
          <w:sz w:val="20"/>
          <w:szCs w:val="20"/>
          <w:color w:val="auto"/>
        </w:rPr>
      </w:pPr>
    </w:p>
    <w:p>
      <w:pPr>
        <w:jc w:val="both"/>
        <w:ind w:right="1719" w:firstLine="525"/>
        <w:spacing w:after="0" w:line="237" w:lineRule="auto"/>
        <w:rPr>
          <w:sz w:val="20"/>
          <w:szCs w:val="20"/>
          <w:color w:val="auto"/>
        </w:rPr>
      </w:pPr>
      <w:r>
        <w:rPr>
          <w:rFonts w:ascii="Courier New" w:cs="Courier New" w:eastAsia="Courier New" w:hAnsi="Courier New"/>
          <w:sz w:val="18"/>
          <w:szCs w:val="18"/>
          <w:color w:val="auto"/>
        </w:rPr>
        <w:t>The Company has sustained operating losses for several years. Continued operations of the Company are dependent on the Company's ability to generate future revenues that are sufficient for the Company to meet its existing debt obligations and finance new product and/or service development and continuing operations. For these reasons, the report of the independent certified public accountants on the Company's audited financial statements included herein is subject to a "going concern" qualification. See Item 7, "Audited Financial Statements." The Company has several judgments against it and more threatened as a result of its inability to pay its obligations to its unsecured creditors. See Item 3 "Legal Proceedings".</w:t>
      </w:r>
    </w:p>
    <w:p>
      <w:pPr>
        <w:spacing w:after="0" w:line="209" w:lineRule="exact"/>
        <w:rPr>
          <w:sz w:val="20"/>
          <w:szCs w:val="20"/>
          <w:color w:val="auto"/>
        </w:rPr>
      </w:pPr>
    </w:p>
    <w:p>
      <w:pPr>
        <w:jc w:val="both"/>
        <w:ind w:right="1719" w:firstLine="525"/>
        <w:spacing w:after="0" w:line="269" w:lineRule="auto"/>
        <w:rPr>
          <w:sz w:val="20"/>
          <w:szCs w:val="20"/>
          <w:color w:val="auto"/>
        </w:rPr>
      </w:pPr>
      <w:r>
        <w:rPr>
          <w:rFonts w:ascii="Courier New" w:cs="Courier New" w:eastAsia="Courier New" w:hAnsi="Courier New"/>
          <w:sz w:val="16"/>
          <w:szCs w:val="16"/>
          <w:color w:val="auto"/>
        </w:rPr>
        <w:t>In December, 1998, the Company initiated an "Offer to Creditors", pursuant to which the Company proposed to issue shares of its Common Stock to settle accrued expenses, accounts payable, notes payable and long-term debt. In June 1999, the Company announced a "successful" consummation of the "Offer to Creditors", in that the holders of approximately $1,570,000 of the Company's previously outstanding debt had agreed to accept shares of the Company's common stock in exchange therefore. TPR Group, Inc., (together with its affiliated entities, TPR), a related party received 296,298 shares of the Company's Common Stock in exchange for $296,298 of unsecured debt. Additionally, TPR acquired 2,000,000 shares of a new series of the Company's authorized but un-issued Series B Preferred Stock which is initially convertible to Common Stock on a 10 to one basis and has contributed $289,440 in principal and accrued interest secured by a lien on the Company's assets, $35,324 in cash, and a $4,000 note to the capital of the Company. TPR has also agreed to exchange approximately $800,000 of the Company's secured debt and accrued interest for shares of Series</w:t>
      </w:r>
    </w:p>
    <w:p>
      <w:pPr>
        <w:spacing w:after="0" w:line="186" w:lineRule="exact"/>
        <w:rPr>
          <w:sz w:val="20"/>
          <w:szCs w:val="20"/>
          <w:color w:val="auto"/>
        </w:rPr>
      </w:pPr>
    </w:p>
    <w:p>
      <w:pPr>
        <w:jc w:val="both"/>
        <w:ind w:right="1719" w:firstLine="8"/>
        <w:spacing w:after="0" w:line="237" w:lineRule="auto"/>
        <w:tabs>
          <w:tab w:leader="none" w:pos="3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at a later date, subject to certain conditions. For a further description of these transactions, please see Item 6, "Management's Discussion and Analysis or Plan of Operations - Liquidity and Capital Resources" and Item 12, "Certain Relationships and Related Transactions" below. As a consequence, TPR currently has the right to cast approximately 85% of all votes to be cast on any and all matters to be presented for the approval of the stockholders of the Company. See Item 11, "Security Ownership of Certain Beneficial Owners and Management".</w:t>
      </w:r>
    </w:p>
    <w:p>
      <w:pPr>
        <w:spacing w:after="0" w:line="207" w:lineRule="exact"/>
        <w:rPr>
          <w:sz w:val="20"/>
          <w:szCs w:val="20"/>
          <w:color w:val="auto"/>
        </w:rPr>
      </w:pPr>
    </w:p>
    <w:p>
      <w:pPr>
        <w:jc w:val="both"/>
        <w:ind w:right="1719" w:firstLine="525"/>
        <w:spacing w:after="0" w:line="237" w:lineRule="auto"/>
        <w:rPr>
          <w:sz w:val="20"/>
          <w:szCs w:val="20"/>
          <w:color w:val="auto"/>
        </w:rPr>
      </w:pPr>
      <w:r>
        <w:rPr>
          <w:rFonts w:ascii="Courier New" w:cs="Courier New" w:eastAsia="Courier New" w:hAnsi="Courier New"/>
          <w:sz w:val="18"/>
          <w:szCs w:val="18"/>
          <w:color w:val="auto"/>
        </w:rPr>
        <w:t>The Company's SoundXchange products were designed to be marketed to large and small businesses that have existing local and wide area networks of personal computers, and businesses that plan to connect existing personal computers into such a network. These products currently are being sold primarily on a direct basis to end-users through the Internet and through independent dealers for resale to end-users. The Company's management believes that the emerging CTI (Computer Telephone Integrated) technologies could help stimulate future growth in the PC audio market, which could result in increased sales of its SoundXchange hardware. The Company also hopes to expand its marketing efforts for SoundXchange hardware products for use with PC Video-conferencing, for computer telephone use on the Internet, and for kiosk uses. The Company's SoundXchange hardware is compatible with many software packages that are in use for these purposes.</w:t>
      </w:r>
    </w:p>
    <w:p>
      <w:pPr>
        <w:spacing w:after="0" w:line="211" w:lineRule="exact"/>
        <w:rPr>
          <w:sz w:val="20"/>
          <w:szCs w:val="20"/>
          <w:color w:val="auto"/>
        </w:rPr>
      </w:pPr>
    </w:p>
    <w:p>
      <w:pPr>
        <w:jc w:val="both"/>
        <w:ind w:right="1719" w:firstLine="525"/>
        <w:spacing w:after="0" w:line="237" w:lineRule="auto"/>
        <w:rPr>
          <w:sz w:val="20"/>
          <w:szCs w:val="20"/>
          <w:color w:val="auto"/>
        </w:rPr>
      </w:pPr>
      <w:r>
        <w:rPr>
          <w:rFonts w:ascii="Courier New" w:cs="Courier New" w:eastAsia="Courier New" w:hAnsi="Courier New"/>
          <w:sz w:val="18"/>
          <w:szCs w:val="18"/>
          <w:color w:val="auto"/>
        </w:rPr>
        <w:t>Four versions of SoundXchange are available All four products use a telephone hand-set/speakerphone attachment to permit users to record and play voice messages on a personal computer, to communicate over the Internet, or when used in a kiosk application to communicate with a remote location. Since the SoundXchange incorporates a microphone and amplified speaker, along with a hand-set, users are able to communicate or record or play back messages in a "hands-free" mode, or, if privacy is desired, by speaking or listening directly through the hand-set. The Company decided to base its audio hardware products on this "speakerphone metaphor" believing that users are more comfortable using the familiar speakerphone-like device in a business or home environment than using stand-alone speakers, microphones or headsets, which are typically used for voice input and output on a personal computer.</w:t>
      </w:r>
    </w:p>
    <w:p>
      <w:pPr>
        <w:spacing w:after="0" w:line="210" w:lineRule="exact"/>
        <w:rPr>
          <w:sz w:val="20"/>
          <w:szCs w:val="20"/>
          <w:color w:val="auto"/>
        </w:rPr>
      </w:pPr>
    </w:p>
    <w:p>
      <w:pPr>
        <w:jc w:val="both"/>
        <w:ind w:right="1719" w:firstLine="525"/>
        <w:spacing w:after="0" w:line="278" w:lineRule="auto"/>
        <w:rPr>
          <w:sz w:val="20"/>
          <w:szCs w:val="20"/>
          <w:color w:val="auto"/>
        </w:rPr>
      </w:pPr>
      <w:r>
        <w:rPr>
          <w:rFonts w:ascii="Courier New" w:cs="Courier New" w:eastAsia="Courier New" w:hAnsi="Courier New"/>
          <w:sz w:val="16"/>
          <w:szCs w:val="16"/>
          <w:color w:val="auto"/>
        </w:rPr>
        <w:t>SoundXchange Model AX, VC and IP are intended for users that currently have audio boards, circuit boards which give a personal computer sound capabilities, installed on their personal computers, or that prefer to use third party audio</w:t>
      </w:r>
    </w:p>
    <w:p>
      <w:pPr>
        <w:sectPr>
          <w:pgSz w:w="11900" w:h="16838" w:orient="portrait"/>
          <w:cols w:equalWidth="0" w:num="1">
            <w:col w:w="10139"/>
          </w:cols>
          <w:pgMar w:left="320" w:top="142" w:right="1440" w:bottom="1440" w:gutter="0" w:footer="0" w:header="0"/>
        </w:sectPr>
      </w:pPr>
    </w:p>
    <w:p>
      <w:pPr>
        <w:spacing w:after="0" w:line="374"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142" w:right="1440" w:bottom="1440" w:gutter="0" w:footer="0" w:header="0"/>
          <w:type w:val="continuous"/>
        </w:sectPr>
      </w:pPr>
    </w:p>
    <w:bookmarkStart w:id="2" w:name="page3"/>
    <w:bookmarkEnd w:id="2"/>
    <w:p>
      <w:pPr>
        <w:spacing w:after="0" w:line="63"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board products. Most personal computer manufacturers, including Compaq and IBM, currently sell personal computer systems with built in audio capability. Additionally, a number of audio board upgrades currently are available, such as those manufactured by Creative Technology. The Model IP provides support for external stereo speakers while the Model AX utilizes an internal amplified speaker for hands free use.</w:t>
      </w:r>
    </w:p>
    <w:p>
      <w:pPr>
        <w:spacing w:after="0" w:line="211"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The Model K was developed for kiosk use by banks and security systems. SoundXchange Model K is designed with a commercial style handset, armored cord and switch plate.</w:t>
      </w:r>
    </w:p>
    <w:p>
      <w:pPr>
        <w:spacing w:after="0" w:line="207"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The Company currently has in inventory a substantial number of SoundXchange Model AX's, and orders for the other models currently are being filled by modifying these SoundXchange Model AX's by the Company's in-house personnel. Based upon recent levels of product sales, Management believes that the Company's inventory level is sufficient to supply 12 months or more of anticipated demand for each of the four models of the SoundXchange.</w:t>
      </w:r>
    </w:p>
    <w:p>
      <w:pPr>
        <w:spacing w:after="0" w:line="211" w:lineRule="exact"/>
        <w:rPr>
          <w:sz w:val="20"/>
          <w:szCs w:val="20"/>
          <w:color w:val="auto"/>
        </w:rPr>
      </w:pPr>
    </w:p>
    <w:p>
      <w:pPr>
        <w:jc w:val="both"/>
        <w:ind w:right="1719" w:firstLine="525"/>
        <w:spacing w:after="0" w:line="267" w:lineRule="auto"/>
        <w:rPr>
          <w:sz w:val="20"/>
          <w:szCs w:val="20"/>
          <w:color w:val="auto"/>
        </w:rPr>
      </w:pPr>
      <w:r>
        <w:rPr>
          <w:rFonts w:ascii="Courier New" w:cs="Courier New" w:eastAsia="Courier New" w:hAnsi="Courier New"/>
          <w:sz w:val="16"/>
          <w:szCs w:val="16"/>
          <w:color w:val="auto"/>
        </w:rPr>
        <w:t>There are a number of other companies which have developed and are now marketing products which may be considered competitive with the Company's SoundXchange products. These products include multimedia input/output hardware and software from Creative Technology and Logitech. To date, however, the Company is unaware of any other sound input/output device for the personal computer currently on the market that uses a speakerphone style device similar</w:t>
      </w:r>
    </w:p>
    <w:p>
      <w:pPr>
        <w:spacing w:after="0" w:line="2"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to that used in the InterActive SoundXchange. The Company believes that the ease of installation and use of speakerphone style products such as the SoundXchange will be a positive factor in the acceptance of voice input/output for personal computers in the home and office environment. In addition, most competitive products utilize microphones, loud speakers, or headphones, which the Company believes will impede acceptance of such devices for general office use. The Company has focused specific marketing attention on these user-friendly aspects of its voice input/output hardware.</w:t>
      </w:r>
    </w:p>
    <w:p>
      <w:pPr>
        <w:spacing w:after="0" w:line="207" w:lineRule="exact"/>
        <w:rPr>
          <w:sz w:val="20"/>
          <w:szCs w:val="20"/>
          <w:color w:val="auto"/>
        </w:rPr>
      </w:pPr>
    </w:p>
    <w:p>
      <w:pPr>
        <w:jc w:val="both"/>
        <w:ind w:right="1719" w:firstLine="525"/>
        <w:spacing w:after="0" w:line="267" w:lineRule="auto"/>
        <w:rPr>
          <w:sz w:val="20"/>
          <w:szCs w:val="20"/>
          <w:color w:val="auto"/>
        </w:rPr>
      </w:pPr>
      <w:r>
        <w:rPr>
          <w:rFonts w:ascii="Courier New" w:cs="Courier New" w:eastAsia="Courier New" w:hAnsi="Courier New"/>
          <w:sz w:val="16"/>
          <w:szCs w:val="16"/>
          <w:color w:val="auto"/>
        </w:rPr>
        <w:t>The Company's ability to compete successfully will depend in part on its ability to protect its proprietary know-how and technology, including its proprietary software, its proprietary hardware and its know-how related to audio-visual and personal computer technologies. The Company intends to rely on</w:t>
      </w:r>
    </w:p>
    <w:p>
      <w:pPr>
        <w:spacing w:after="0" w:line="2" w:lineRule="exact"/>
        <w:rPr>
          <w:sz w:val="20"/>
          <w:szCs w:val="20"/>
          <w:color w:val="auto"/>
        </w:rPr>
      </w:pPr>
    </w:p>
    <w:p>
      <w:pPr>
        <w:jc w:val="both"/>
        <w:ind w:right="1719" w:firstLine="8"/>
        <w:spacing w:after="0" w:line="236" w:lineRule="auto"/>
        <w:tabs>
          <w:tab w:leader="none" w:pos="31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 of copyright protection, trade secrets, patents, non-disclosure agreements, and licensing agreements to protect its proprietary rights. The Company has a U.S. patent on its SoundXchange product. The Company intends to</w:t>
      </w:r>
    </w:p>
    <w:p>
      <w:pPr>
        <w:spacing w:after="0"/>
        <w:tabs>
          <w:tab w:leader="none" w:pos="1040" w:val="left"/>
          <w:tab w:leader="none" w:pos="1460" w:val="left"/>
          <w:tab w:leader="none" w:pos="2080" w:val="left"/>
          <w:tab w:leader="none" w:pos="2920" w:val="left"/>
          <w:tab w:leader="none" w:pos="4400" w:val="left"/>
          <w:tab w:leader="none" w:pos="5460" w:val="left"/>
        </w:tabs>
        <w:rPr>
          <w:sz w:val="20"/>
          <w:szCs w:val="20"/>
          <w:color w:val="auto"/>
        </w:rPr>
      </w:pPr>
      <w:r>
        <w:rPr>
          <w:rFonts w:ascii="Courier New" w:cs="Courier New" w:eastAsia="Courier New" w:hAnsi="Courier New"/>
          <w:sz w:val="18"/>
          <w:szCs w:val="18"/>
          <w:color w:val="auto"/>
        </w:rPr>
        <w:t>continue</w:t>
        <w:tab/>
        <w:t>to</w:t>
        <w:tab/>
        <w:t>file</w:t>
        <w:tab/>
        <w:t>patent</w:t>
        <w:tab/>
        <w:t>applications</w:t>
        <w:tab/>
        <w:t>covering</w:t>
      </w:r>
      <w:r>
        <w:rPr>
          <w:sz w:val="20"/>
          <w:szCs w:val="20"/>
          <w:color w:val="auto"/>
        </w:rPr>
        <w:tab/>
      </w:r>
      <w:r>
        <w:rPr>
          <w:rFonts w:ascii="Courier New" w:cs="Courier New" w:eastAsia="Courier New" w:hAnsi="Courier New"/>
          <w:sz w:val="16"/>
          <w:szCs w:val="16"/>
          <w:color w:val="auto"/>
        </w:rPr>
        <w:t>its products as appropriate.</w:t>
      </w:r>
    </w:p>
    <w:p>
      <w:pPr>
        <w:spacing w:after="0" w:line="206" w:lineRule="exact"/>
        <w:rPr>
          <w:sz w:val="20"/>
          <w:szCs w:val="20"/>
          <w:color w:val="auto"/>
        </w:rPr>
      </w:pPr>
    </w:p>
    <w:p>
      <w:pPr>
        <w:ind w:right="1719" w:firstLine="525"/>
        <w:spacing w:after="0" w:line="237" w:lineRule="auto"/>
        <w:rPr>
          <w:sz w:val="20"/>
          <w:szCs w:val="20"/>
          <w:color w:val="auto"/>
        </w:rPr>
      </w:pPr>
      <w:r>
        <w:rPr>
          <w:rFonts w:ascii="Courier New" w:cs="Courier New" w:eastAsia="Courier New" w:hAnsi="Courier New"/>
          <w:sz w:val="18"/>
          <w:szCs w:val="18"/>
          <w:color w:val="auto"/>
        </w:rPr>
        <w:t>In the fiscal years ended September 30, 1999 and 1998, there were no research and development expenses. There were no software development costs for the fiscal years ended September 30, 1999 and 1998. The Company does not have any employees currently engaged in research, product development and engineering, but the Company could have access, through TPR, to certain of the Company's former key research and development employees who are now employees of TPR. Although TPR is a stockholder of InterActive, and TPR has performed as a strategic partner in past development efforts of InterActive, there can be no assurance that TPR will continue to provide InterActive consulting services because of InterActive's current inability to pay for these consulting services. The Company believes that research and development support of the Company's products, is important to the long-term viability of such products and the future revenues of the Company.</w:t>
      </w:r>
    </w:p>
    <w:p>
      <w:pPr>
        <w:spacing w:after="0" w:line="211" w:lineRule="exact"/>
        <w:rPr>
          <w:sz w:val="20"/>
          <w:szCs w:val="20"/>
          <w:color w:val="auto"/>
        </w:rPr>
      </w:pPr>
    </w:p>
    <w:p>
      <w:pPr>
        <w:ind w:right="1719" w:firstLine="525"/>
        <w:spacing w:after="0" w:line="268" w:lineRule="auto"/>
        <w:rPr>
          <w:sz w:val="20"/>
          <w:szCs w:val="20"/>
          <w:color w:val="auto"/>
        </w:rPr>
      </w:pPr>
      <w:r>
        <w:rPr>
          <w:rFonts w:ascii="Courier New" w:cs="Courier New" w:eastAsia="Courier New" w:hAnsi="Courier New"/>
          <w:sz w:val="16"/>
          <w:szCs w:val="16"/>
          <w:color w:val="auto"/>
        </w:rPr>
        <w:t>Recognizing that sales of SoundXchange products have not produced sufficient revenue in recent periods, Management has determined that additional products and/or services must be developed and successfully introduced if the Company is to generate profitable operations in the future. Management is in the process of formulating plans in this regard, which are expected to include entry into additional multimedia markets. In addition, the Company hopes to increase revenue through varying methods of Internet sales. However, there can be no assurance that the Company will be able to develop or successfully implement any such strategy, nor that the Company will be able to achieve profitable operations in the near term, if at all. In the interim, the Company intends to provide consulting services with the assistance of TPR, which Management believes will generate all or a substantial portion of the cash needed to finance the Company's entry into these new markets. It may also be necessary for the Company to seek additional equity and/or debt financing to provide a portion of the funds needed to implement this strategy. There can be no assurance that the assistance provided by TPR will enable the Company to develop a profitable consulting services business, nor that any additional funds needed through private investments or loans will be available to the Company on acceptable terms, if at all.</w:t>
      </w:r>
    </w:p>
    <w:p>
      <w:pPr>
        <w:spacing w:after="0" w:line="200" w:lineRule="exact"/>
        <w:rPr>
          <w:sz w:val="20"/>
          <w:szCs w:val="20"/>
          <w:color w:val="auto"/>
        </w:rPr>
      </w:pPr>
    </w:p>
    <w:p>
      <w:pPr>
        <w:spacing w:after="0" w:line="400" w:lineRule="exact"/>
        <w:rPr>
          <w:sz w:val="20"/>
          <w:szCs w:val="20"/>
          <w:color w:val="auto"/>
        </w:rPr>
      </w:pPr>
    </w:p>
    <w:p>
      <w:pPr>
        <w:jc w:val="both"/>
        <w:ind w:right="1719" w:firstLine="525"/>
        <w:spacing w:after="0" w:line="274" w:lineRule="auto"/>
        <w:rPr>
          <w:sz w:val="20"/>
          <w:szCs w:val="20"/>
          <w:color w:val="auto"/>
        </w:rPr>
      </w:pPr>
      <w:r>
        <w:rPr>
          <w:rFonts w:ascii="Courier New" w:cs="Courier New" w:eastAsia="Courier New" w:hAnsi="Courier New"/>
          <w:sz w:val="16"/>
          <w:szCs w:val="16"/>
          <w:color w:val="auto"/>
        </w:rPr>
        <w:t>As of September 30, 1999, the Company had one full time employee engaged in finance and administrative operations. The Company also has an agreement with an outside sales representative who receives commission on sales. This sales representative also is engaged in administration. The Company is not a party to</w:t>
      </w:r>
    </w:p>
    <w:p>
      <w:pPr>
        <w:sectPr>
          <w:pgSz w:w="11900" w:h="16901" w:orient="portrait"/>
          <w:cols w:equalWidth="0" w:num="1">
            <w:col w:w="10139"/>
          </w:cols>
          <w:pgMar w:left="320" w:top="519" w:right="1440" w:bottom="0" w:gutter="0" w:footer="0" w:header="0"/>
        </w:sectPr>
      </w:pPr>
    </w:p>
    <w:bookmarkStart w:id="3" w:name="page4"/>
    <w:bookmarkEnd w:id="3"/>
    <w:p>
      <w:pPr>
        <w:jc w:val="both"/>
        <w:ind w:right="1719"/>
        <w:spacing w:after="0" w:line="235" w:lineRule="auto"/>
        <w:rPr>
          <w:sz w:val="20"/>
          <w:szCs w:val="20"/>
          <w:color w:val="auto"/>
        </w:rPr>
      </w:pPr>
      <w:r>
        <w:rPr>
          <w:rFonts w:ascii="Courier New" w:cs="Courier New" w:eastAsia="Courier New" w:hAnsi="Courier New"/>
          <w:sz w:val="18"/>
          <w:szCs w:val="18"/>
          <w:color w:val="auto"/>
        </w:rPr>
        <w:t>any collective bargaining agreement. The Company has never experienced a work stoppage and believes that its relations with its employee are excellent.</w:t>
      </w:r>
    </w:p>
    <w:p>
      <w:pPr>
        <w:spacing w:after="0" w:line="200" w:lineRule="exact"/>
        <w:rPr>
          <w:sz w:val="20"/>
          <w:szCs w:val="20"/>
          <w:color w:val="auto"/>
        </w:rPr>
      </w:pPr>
    </w:p>
    <w:p>
      <w:pPr>
        <w:spacing w:after="0" w:line="203"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142" w:right="1440" w:bottom="1440" w:gutter="0" w:footer="0" w:header="0"/>
        </w:sectPr>
      </w:pPr>
    </w:p>
    <w:bookmarkStart w:id="4" w:name="page5"/>
    <w:bookmarkEnd w:id="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PROPERTY</w:t>
      </w:r>
    </w:p>
    <w:p>
      <w:pPr>
        <w:spacing w:after="0" w:line="216" w:lineRule="exact"/>
        <w:rPr>
          <w:sz w:val="20"/>
          <w:szCs w:val="20"/>
          <w:color w:val="auto"/>
        </w:rPr>
      </w:pPr>
    </w:p>
    <w:p>
      <w:pPr>
        <w:sectPr>
          <w:pgSz w:w="11900" w:h="16838" w:orient="portrait"/>
          <w:cols w:equalWidth="0" w:num="5">
            <w:col w:w="420" w:space="220"/>
            <w:col w:w="200" w:space="220"/>
            <w:col w:w="1160" w:space="200"/>
            <w:col w:w="220" w:space="200"/>
            <w:col w:w="7299"/>
          </w:cols>
          <w:pgMar w:left="320" w:top="513" w:right="1440" w:bottom="203"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w:t>
      </w:r>
    </w:p>
    <w:p>
      <w:pPr>
        <w:sectPr>
          <w:pgSz w:w="11900" w:h="16838" w:orient="portrait"/>
          <w:cols w:equalWidth="0" w:num="1">
            <w:col w:w="10139"/>
          </w:cols>
          <w:pgMar w:left="320" w:top="513" w:right="1440" w:bottom="203" w:gutter="0" w:footer="0" w:header="0"/>
          <w:type w:val="continuous"/>
        </w:sectPr>
      </w:pPr>
    </w:p>
    <w:p>
      <w:pPr>
        <w:spacing w:after="0" w:line="21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Humboldt,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1719" w:hanging="104"/>
        <w:spacing w:after="0" w:line="235" w:lineRule="auto"/>
        <w:rPr>
          <w:sz w:val="20"/>
          <w:szCs w:val="20"/>
          <w:color w:val="auto"/>
        </w:rPr>
      </w:pPr>
      <w:r>
        <w:rPr>
          <w:rFonts w:ascii="Courier New" w:cs="Courier New" w:eastAsia="Courier New" w:hAnsi="Courier New"/>
          <w:sz w:val="18"/>
          <w:szCs w:val="18"/>
          <w:color w:val="auto"/>
        </w:rPr>
        <w:t>Company</w:t>
      </w:r>
      <w:r>
        <w:rPr>
          <w:sz w:val="20"/>
          <w:szCs w:val="20"/>
          <w:color w:val="auto"/>
        </w:rPr>
        <w:t xml:space="preserve"> </w:t>
      </w:r>
      <w:r>
        <w:rPr>
          <w:rFonts w:ascii="Courier New" w:cs="Courier New" w:eastAsia="Courier New" w:hAnsi="Courier New"/>
          <w:sz w:val="18"/>
          <w:szCs w:val="18"/>
          <w:color w:val="auto"/>
        </w:rPr>
        <w:t>owns the 22,000 square foot facility that it occupies in South Dakota. The Humboldt property is subject to a lien in</w:t>
      </w:r>
    </w:p>
    <w:p>
      <w:pPr>
        <w:spacing w:after="0" w:line="5" w:lineRule="exact"/>
        <w:rPr>
          <w:sz w:val="20"/>
          <w:szCs w:val="20"/>
          <w:color w:val="auto"/>
        </w:rPr>
      </w:pPr>
    </w:p>
    <w:p>
      <w:pPr>
        <w:sectPr>
          <w:pgSz w:w="11900" w:h="16838" w:orient="portrait"/>
          <w:cols w:equalWidth="0" w:num="2">
            <w:col w:w="960" w:space="200"/>
            <w:col w:w="8979"/>
          </w:cols>
          <w:pgMar w:left="320" w:top="513" w:right="1440" w:bottom="203" w:gutter="0" w:footer="0" w:header="0"/>
          <w:type w:val="continuous"/>
        </w:sectPr>
      </w:pPr>
    </w:p>
    <w:p>
      <w:pPr>
        <w:jc w:val="both"/>
        <w:ind w:right="1719"/>
        <w:spacing w:after="0" w:line="289" w:lineRule="auto"/>
        <w:rPr>
          <w:sz w:val="20"/>
          <w:szCs w:val="20"/>
          <w:color w:val="auto"/>
        </w:rPr>
      </w:pPr>
      <w:r>
        <w:rPr>
          <w:rFonts w:ascii="Courier New" w:cs="Courier New" w:eastAsia="Courier New" w:hAnsi="Courier New"/>
          <w:sz w:val="16"/>
          <w:szCs w:val="16"/>
          <w:color w:val="auto"/>
        </w:rPr>
        <w:t>connection with the Company's inability to pay for building improvements performed by a contractor. This liability has been assumed by a related party.</w:t>
      </w:r>
    </w:p>
    <w:p>
      <w:pPr>
        <w:spacing w:after="0" w:line="170"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The Company believes that the location of its principal facilities in South Dakota provides the Company with access to highly motivated, well trained workers, and a low cost of living, which the Company believes will help constrain future operating costs. South Dakota currently has no state income tax on corporations.</w:t>
      </w:r>
    </w:p>
    <w:p>
      <w:pPr>
        <w:spacing w:after="0" w:line="210" w:lineRule="exact"/>
        <w:rPr>
          <w:sz w:val="20"/>
          <w:szCs w:val="20"/>
          <w:color w:val="auto"/>
        </w:rPr>
      </w:pPr>
    </w:p>
    <w:p>
      <w:pPr>
        <w:ind w:right="1719" w:firstLine="525"/>
        <w:spacing w:after="0" w:line="236" w:lineRule="auto"/>
        <w:rPr>
          <w:sz w:val="20"/>
          <w:szCs w:val="20"/>
          <w:color w:val="auto"/>
        </w:rPr>
      </w:pPr>
      <w:r>
        <w:rPr>
          <w:rFonts w:ascii="Courier New" w:cs="Courier New" w:eastAsia="Courier New" w:hAnsi="Courier New"/>
          <w:sz w:val="18"/>
          <w:szCs w:val="18"/>
          <w:color w:val="auto"/>
        </w:rPr>
        <w:t>The Company believes that its current facilities are in reasonably good condition and will satisfy its needs for at least the next year, but will consider leasing additional space in other geographical locations if the need for regional sales, distribution, or other business facilities should materialize.</w:t>
      </w:r>
    </w:p>
    <w:p>
      <w:pPr>
        <w:spacing w:after="0" w:line="204" w:lineRule="exact"/>
        <w:rPr>
          <w:sz w:val="20"/>
          <w:szCs w:val="20"/>
          <w:color w:val="auto"/>
        </w:rPr>
      </w:pPr>
    </w:p>
    <w:p>
      <w:pPr>
        <w:spacing w:after="0"/>
        <w:tabs>
          <w:tab w:leader="none" w:pos="620" w:val="left"/>
          <w:tab w:leader="none" w:pos="1040" w:val="left"/>
          <w:tab w:leader="none" w:pos="1780" w:val="left"/>
        </w:tabs>
        <w:rPr>
          <w:sz w:val="20"/>
          <w:szCs w:val="20"/>
          <w:color w:val="auto"/>
        </w:rPr>
      </w:pPr>
      <w:r>
        <w:rPr>
          <w:rFonts w:ascii="Courier New" w:cs="Courier New" w:eastAsia="Courier New" w:hAnsi="Courier New"/>
          <w:sz w:val="18"/>
          <w:szCs w:val="18"/>
          <w:color w:val="auto"/>
        </w:rPr>
        <w:t>ITEM</w:t>
        <w:tab/>
        <w:t>3.</w:t>
        <w:tab/>
        <w:t>LEGAL</w:t>
      </w:r>
      <w:r>
        <w:rPr>
          <w:sz w:val="20"/>
          <w:szCs w:val="20"/>
          <w:color w:val="auto"/>
        </w:rPr>
        <w:tab/>
      </w:r>
      <w:r>
        <w:rPr>
          <w:rFonts w:ascii="Courier New" w:cs="Courier New" w:eastAsia="Courier New" w:hAnsi="Courier New"/>
          <w:sz w:val="16"/>
          <w:szCs w:val="16"/>
          <w:color w:val="auto"/>
        </w:rPr>
        <w:t>PROCEEDINGS</w:t>
      </w:r>
    </w:p>
    <w:p>
      <w:pPr>
        <w:spacing w:after="0" w:line="206" w:lineRule="exact"/>
        <w:rPr>
          <w:sz w:val="20"/>
          <w:szCs w:val="20"/>
          <w:color w:val="auto"/>
        </w:rPr>
      </w:pPr>
    </w:p>
    <w:p>
      <w:pPr>
        <w:jc w:val="both"/>
        <w:ind w:right="1719" w:firstLine="525"/>
        <w:spacing w:after="0" w:line="268" w:lineRule="auto"/>
        <w:rPr>
          <w:sz w:val="20"/>
          <w:szCs w:val="20"/>
          <w:color w:val="auto"/>
        </w:rPr>
      </w:pPr>
      <w:r>
        <w:rPr>
          <w:rFonts w:ascii="Courier New" w:cs="Courier New" w:eastAsia="Courier New" w:hAnsi="Courier New"/>
          <w:sz w:val="16"/>
          <w:szCs w:val="16"/>
          <w:color w:val="auto"/>
        </w:rPr>
        <w:t>Although the Company successfully closed it's "Offer to Creditors" during 1999, the Company is delinquent on its interest payments on its secured note, one of its subordinated long term notes and a portion of its trade accounts payable. The Company has several judgments against it and several more threatened as a result of its inability to pay its obligations to its unsecured trade creditors. The judgments are all from unsecured creditors which the Company is no longer using for ongoing operations and the Company does not intend to pay these unsecured debts until its obligations to its secured creditors are satisfied. The company currently feels that the best possibility it has available to repay its secured and unsecured creditors and to return value to its stockholders is to continue to operate the Company and to work out payment plans if it is able to do so in the future. While the Company does not expect that it will be forced into bankruptcy by its secured or unsecured creditors, there can be no assurance that this will not happen because of the Company's inability to meet its obligations to its remaining creditors. The Company believes that a liquidation of its assets would only satisfy a small portion of the Company's obligations to its secured creditors and provide nothing for the Company's unsecured creditors or its stockholders.</w:t>
      </w:r>
    </w:p>
    <w:p>
      <w:pPr>
        <w:spacing w:after="0" w:line="200" w:lineRule="exact"/>
        <w:rPr>
          <w:sz w:val="20"/>
          <w:szCs w:val="20"/>
          <w:color w:val="auto"/>
        </w:rPr>
      </w:pPr>
    </w:p>
    <w:p>
      <w:pPr>
        <w:spacing w:after="0" w:line="394" w:lineRule="exact"/>
        <w:rPr>
          <w:sz w:val="20"/>
          <w:szCs w:val="20"/>
          <w:color w:val="auto"/>
        </w:rPr>
      </w:pPr>
    </w:p>
    <w:p>
      <w:pPr>
        <w:spacing w:after="0"/>
        <w:tabs>
          <w:tab w:leader="none" w:pos="620" w:val="left"/>
          <w:tab w:leader="none" w:pos="1040" w:val="left"/>
          <w:tab w:leader="none" w:pos="2300" w:val="left"/>
          <w:tab w:leader="none" w:pos="2720" w:val="left"/>
          <w:tab w:leader="none" w:pos="3660" w:val="left"/>
          <w:tab w:leader="none" w:pos="4080" w:val="left"/>
          <w:tab w:leader="none" w:pos="4400" w:val="left"/>
          <w:tab w:leader="none" w:pos="5040" w:val="left"/>
          <w:tab w:leader="none" w:pos="5460" w:val="left"/>
          <w:tab w:leader="none" w:pos="6500" w:val="left"/>
        </w:tabs>
        <w:rPr>
          <w:sz w:val="20"/>
          <w:szCs w:val="20"/>
          <w:color w:val="auto"/>
        </w:rPr>
      </w:pPr>
      <w:r>
        <w:rPr>
          <w:rFonts w:ascii="Courier New" w:cs="Courier New" w:eastAsia="Courier New" w:hAnsi="Courier New"/>
          <w:sz w:val="18"/>
          <w:szCs w:val="18"/>
          <w:color w:val="auto"/>
        </w:rPr>
        <w:t>ITEM</w:t>
        <w:tab/>
        <w:t>4.</w:t>
        <w:tab/>
        <w:t>SUBMISSION</w:t>
        <w:tab/>
        <w:t>OF</w:t>
        <w:tab/>
        <w:t>MATTERS</w:t>
        <w:tab/>
        <w:t>TO</w:t>
        <w:tab/>
        <w:t>A</w:t>
        <w:tab/>
        <w:t>VOTE</w:t>
        <w:tab/>
        <w:t>OF</w:t>
        <w:tab/>
        <w:t>SECURITY</w:t>
      </w:r>
      <w:r>
        <w:rPr>
          <w:sz w:val="20"/>
          <w:szCs w:val="20"/>
          <w:color w:val="auto"/>
        </w:rPr>
        <w:tab/>
      </w:r>
      <w:r>
        <w:rPr>
          <w:rFonts w:ascii="Courier New" w:cs="Courier New" w:eastAsia="Courier New" w:hAnsi="Courier New"/>
          <w:sz w:val="16"/>
          <w:szCs w:val="16"/>
          <w:color w:val="auto"/>
        </w:rPr>
        <w:t>HOLDERS</w:t>
      </w:r>
    </w:p>
    <w:p>
      <w:pPr>
        <w:spacing w:after="0" w:line="206" w:lineRule="exact"/>
        <w:rPr>
          <w:sz w:val="20"/>
          <w:szCs w:val="20"/>
          <w:color w:val="auto"/>
        </w:rPr>
      </w:pPr>
    </w:p>
    <w:p>
      <w:pPr>
        <w:jc w:val="both"/>
        <w:ind w:right="1719" w:firstLine="525"/>
        <w:spacing w:after="0" w:line="235" w:lineRule="auto"/>
        <w:rPr>
          <w:sz w:val="20"/>
          <w:szCs w:val="20"/>
          <w:color w:val="auto"/>
        </w:rPr>
      </w:pPr>
      <w:r>
        <w:rPr>
          <w:rFonts w:ascii="Courier New" w:cs="Courier New" w:eastAsia="Courier New" w:hAnsi="Courier New"/>
          <w:sz w:val="18"/>
          <w:szCs w:val="18"/>
          <w:color w:val="auto"/>
        </w:rPr>
        <w:t>There were no matters submitted to a vote of security holders during fiscal year 1999.</w:t>
      </w: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PART</w:t>
      </w:r>
      <w:r>
        <w:rPr>
          <w:sz w:val="20"/>
          <w:szCs w:val="20"/>
          <w:color w:val="auto"/>
        </w:rPr>
        <w:tab/>
      </w:r>
      <w:r>
        <w:rPr>
          <w:rFonts w:ascii="Courier New" w:cs="Courier New" w:eastAsia="Courier New" w:hAnsi="Courier New"/>
          <w:sz w:val="16"/>
          <w:szCs w:val="16"/>
          <w:color w:val="auto"/>
        </w:rPr>
        <w:t>II</w:t>
      </w:r>
    </w:p>
    <w:p>
      <w:pPr>
        <w:spacing w:after="0" w:line="200" w:lineRule="exact"/>
        <w:rPr>
          <w:sz w:val="20"/>
          <w:szCs w:val="20"/>
          <w:color w:val="auto"/>
        </w:rPr>
      </w:pPr>
    </w:p>
    <w:p>
      <w:pPr>
        <w:spacing w:after="0"/>
        <w:tabs>
          <w:tab w:leader="none" w:pos="620" w:val="left"/>
          <w:tab w:leader="none" w:pos="1360" w:val="left"/>
          <w:tab w:leader="none" w:pos="2200" w:val="left"/>
          <w:tab w:leader="none" w:pos="2720" w:val="left"/>
          <w:tab w:leader="none" w:pos="3560" w:val="left"/>
          <w:tab w:leader="none" w:pos="4400" w:val="left"/>
          <w:tab w:leader="none" w:pos="4920" w:val="left"/>
          <w:tab w:leader="none" w:pos="5880" w:val="left"/>
          <w:tab w:leader="none" w:pos="7240" w:val="left"/>
        </w:tabs>
        <w:rPr>
          <w:sz w:val="20"/>
          <w:szCs w:val="20"/>
          <w:color w:val="auto"/>
        </w:rPr>
      </w:pPr>
      <w:r>
        <w:rPr>
          <w:rFonts w:ascii="Courier New" w:cs="Courier New" w:eastAsia="Courier New" w:hAnsi="Courier New"/>
          <w:sz w:val="18"/>
          <w:szCs w:val="18"/>
          <w:color w:val="auto"/>
        </w:rPr>
        <w:t>ITEM</w:t>
        <w:tab/>
        <w:t>5.</w:t>
      </w:r>
      <w:r>
        <w:rPr>
          <w:sz w:val="20"/>
          <w:szCs w:val="20"/>
          <w:color w:val="auto"/>
        </w:rPr>
        <w:tab/>
      </w:r>
      <w:r>
        <w:rPr>
          <w:rFonts w:ascii="Courier New" w:cs="Courier New" w:eastAsia="Courier New" w:hAnsi="Courier New"/>
          <w:sz w:val="18"/>
          <w:szCs w:val="18"/>
          <w:color w:val="auto"/>
        </w:rPr>
        <w:t>MARKET</w:t>
        <w:tab/>
        <w:t>FOR</w:t>
        <w:tab/>
        <w:t>COMMON</w:t>
        <w:tab/>
        <w:t>EQUITY</w:t>
        <w:tab/>
        <w:t>AND</w:t>
        <w:tab/>
        <w:t>RELATED</w:t>
        <w:tab/>
        <w:t>STOCKHOLDER</w:t>
      </w:r>
      <w:r>
        <w:rPr>
          <w:sz w:val="20"/>
          <w:szCs w:val="20"/>
          <w:color w:val="auto"/>
        </w:rPr>
        <w:tab/>
      </w:r>
      <w:r>
        <w:rPr>
          <w:rFonts w:ascii="Courier New" w:cs="Courier New" w:eastAsia="Courier New" w:hAnsi="Courier New"/>
          <w:sz w:val="16"/>
          <w:szCs w:val="16"/>
          <w:color w:val="auto"/>
        </w:rPr>
        <w:t>MATTERS</w:t>
      </w:r>
    </w:p>
    <w:p>
      <w:pPr>
        <w:spacing w:after="0" w:line="206"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During 1999, the Company issued 1,686,162 shares of its Common Stock to creditors in exchange for satisfaction of trade accounts payable, long and short term debt and convertible notes.</w:t>
      </w:r>
    </w:p>
    <w:p>
      <w:pPr>
        <w:spacing w:after="0" w:line="207" w:lineRule="exact"/>
        <w:rPr>
          <w:sz w:val="20"/>
          <w:szCs w:val="20"/>
          <w:color w:val="auto"/>
        </w:rPr>
      </w:pPr>
    </w:p>
    <w:p>
      <w:pPr>
        <w:ind w:right="1719" w:firstLine="8"/>
        <w:spacing w:after="0" w:line="235" w:lineRule="auto"/>
        <w:tabs>
          <w:tab w:leader="none" w:pos="63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common stock is currently quoted on the OTC Bulletin Board under the symbol "INAVE".</w:t>
      </w:r>
    </w:p>
    <w:p>
      <w:pPr>
        <w:spacing w:after="0" w:line="207" w:lineRule="exact"/>
        <w:rPr>
          <w:sz w:val="20"/>
          <w:szCs w:val="20"/>
          <w:color w:val="auto"/>
        </w:rPr>
      </w:pPr>
    </w:p>
    <w:p>
      <w:pPr>
        <w:jc w:val="both"/>
        <w:ind w:right="1719" w:firstLine="525"/>
        <w:spacing w:after="0" w:line="235" w:lineRule="auto"/>
        <w:rPr>
          <w:sz w:val="20"/>
          <w:szCs w:val="20"/>
          <w:color w:val="auto"/>
        </w:rPr>
      </w:pPr>
      <w:r>
        <w:rPr>
          <w:rFonts w:ascii="Courier New" w:cs="Courier New" w:eastAsia="Courier New" w:hAnsi="Courier New"/>
          <w:sz w:val="18"/>
          <w:szCs w:val="18"/>
          <w:color w:val="auto"/>
        </w:rPr>
        <w:t>Stock prices for the past two years are not presented because of the infrequency of trade in the Company's stock.</w:t>
      </w:r>
    </w:p>
    <w:p>
      <w:pPr>
        <w:spacing w:after="0" w:line="207" w:lineRule="exact"/>
        <w:rPr>
          <w:sz w:val="20"/>
          <w:szCs w:val="20"/>
          <w:color w:val="auto"/>
        </w:rPr>
      </w:pPr>
    </w:p>
    <w:p>
      <w:pPr>
        <w:jc w:val="both"/>
        <w:ind w:right="1719" w:firstLine="1050"/>
        <w:spacing w:after="0" w:line="236" w:lineRule="auto"/>
        <w:rPr>
          <w:sz w:val="20"/>
          <w:szCs w:val="20"/>
          <w:color w:val="auto"/>
        </w:rPr>
      </w:pPr>
      <w:r>
        <w:rPr>
          <w:rFonts w:ascii="Courier New" w:cs="Courier New" w:eastAsia="Courier New" w:hAnsi="Courier New"/>
          <w:sz w:val="18"/>
          <w:szCs w:val="18"/>
          <w:color w:val="auto"/>
        </w:rPr>
        <w:t>On September 30, 1999 there were approximately 426 shareholders of record of the Common Stock of the Company, based on information provided by the Company's transfer agent.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6"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The Company has never paid dividends on its Common Stock and does not anticipate that it will do so in the foreseeable future. The future payment of dividends, if any, on the Common Stock is within the discretion of the Board of Directors and will depend on the Company's earnings, its capital requirements and financial condition and other relevant factors.</w:t>
      </w:r>
    </w:p>
    <w:p>
      <w:pPr>
        <w:spacing w:after="0" w:line="200" w:lineRule="exact"/>
        <w:rPr>
          <w:sz w:val="20"/>
          <w:szCs w:val="20"/>
          <w:color w:val="auto"/>
        </w:rPr>
      </w:pPr>
    </w:p>
    <w:p>
      <w:pPr>
        <w:spacing w:after="0" w:line="206"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513" w:right="1440" w:bottom="203" w:gutter="0" w:footer="0" w:header="0"/>
          <w:type w:val="continuous"/>
        </w:sectPr>
      </w:pPr>
    </w:p>
    <w:bookmarkStart w:id="5" w:name="page6"/>
    <w:bookmarkEnd w:id="5"/>
    <w:p>
      <w:pPr>
        <w:spacing w:after="0"/>
        <w:tabs>
          <w:tab w:leader="none" w:pos="620" w:val="left"/>
          <w:tab w:leader="none" w:pos="1360" w:val="left"/>
          <w:tab w:leader="none" w:pos="2820" w:val="left"/>
          <w:tab w:leader="none" w:pos="4080" w:val="left"/>
          <w:tab w:leader="none" w:pos="4620" w:val="left"/>
          <w:tab w:leader="none" w:pos="5660" w:val="left"/>
          <w:tab w:leader="none" w:pos="6080" w:val="left"/>
          <w:tab w:leader="none" w:pos="6720" w:val="left"/>
          <w:tab w:leader="none" w:pos="7140" w:val="left"/>
        </w:tabs>
        <w:rPr>
          <w:sz w:val="20"/>
          <w:szCs w:val="20"/>
          <w:color w:val="auto"/>
        </w:rPr>
      </w:pPr>
      <w:r>
        <w:rPr>
          <w:rFonts w:ascii="Courier New" w:cs="Courier New" w:eastAsia="Courier New" w:hAnsi="Courier New"/>
          <w:sz w:val="18"/>
          <w:szCs w:val="18"/>
          <w:color w:val="auto"/>
        </w:rPr>
        <w:t>ITEM</w:t>
        <w:tab/>
        <w:t>6.</w:t>
      </w:r>
      <w:r>
        <w:rPr>
          <w:sz w:val="20"/>
          <w:szCs w:val="20"/>
          <w:color w:val="auto"/>
        </w:rPr>
        <w:tab/>
      </w:r>
      <w:r>
        <w:rPr>
          <w:rFonts w:ascii="Courier New" w:cs="Courier New" w:eastAsia="Courier New" w:hAnsi="Courier New"/>
          <w:sz w:val="18"/>
          <w:szCs w:val="18"/>
          <w:color w:val="auto"/>
        </w:rPr>
        <w:t>MANAGEMENT'S</w:t>
        <w:tab/>
        <w:t>DISCUSSION</w:t>
        <w:tab/>
        <w:t>AND</w:t>
        <w:tab/>
        <w:t>ANALYSIS</w:t>
        <w:tab/>
        <w:t>OR</w:t>
        <w:tab/>
        <w:t>PLAN</w:t>
        <w:tab/>
        <w:t>OF</w:t>
      </w:r>
      <w:r>
        <w:rPr>
          <w:sz w:val="20"/>
          <w:szCs w:val="20"/>
          <w:color w:val="auto"/>
        </w:rPr>
        <w:tab/>
      </w:r>
      <w:r>
        <w:rPr>
          <w:rFonts w:ascii="Courier New" w:cs="Courier New" w:eastAsia="Courier New" w:hAnsi="Courier New"/>
          <w:sz w:val="16"/>
          <w:szCs w:val="16"/>
          <w:color w:val="auto"/>
        </w:rPr>
        <w:t>OPERATION</w:t>
      </w:r>
    </w:p>
    <w:p>
      <w:pPr>
        <w:spacing w:after="0" w:line="200" w:lineRule="exact"/>
        <w:rPr>
          <w:sz w:val="20"/>
          <w:szCs w:val="20"/>
          <w:color w:val="auto"/>
        </w:rPr>
      </w:pPr>
    </w:p>
    <w:p>
      <w:pPr>
        <w:spacing w:after="0"/>
        <w:tabs>
          <w:tab w:leader="none" w:pos="1140" w:val="left"/>
          <w:tab w:leader="none" w:pos="1660" w:val="left"/>
          <w:tab w:leader="none" w:pos="2620" w:val="left"/>
        </w:tabs>
        <w:rPr>
          <w:sz w:val="20"/>
          <w:szCs w:val="20"/>
          <w:color w:val="auto"/>
        </w:rPr>
      </w:pPr>
      <w:r>
        <w:rPr>
          <w:rFonts w:ascii="Courier New" w:cs="Courier New" w:eastAsia="Courier New" w:hAnsi="Courier New"/>
          <w:sz w:val="18"/>
          <w:szCs w:val="18"/>
          <w:color w:val="auto"/>
        </w:rPr>
        <w:t>LIQUIDITY</w:t>
        <w:tab/>
        <w:t>AND</w:t>
        <w:tab/>
        <w:t>CAPITAL</w:t>
      </w:r>
      <w:r>
        <w:rPr>
          <w:sz w:val="20"/>
          <w:szCs w:val="20"/>
          <w:color w:val="auto"/>
        </w:rPr>
        <w:tab/>
      </w:r>
      <w:r>
        <w:rPr>
          <w:rFonts w:ascii="Courier New" w:cs="Courier New" w:eastAsia="Courier New" w:hAnsi="Courier New"/>
          <w:sz w:val="16"/>
          <w:szCs w:val="16"/>
          <w:color w:val="auto"/>
        </w:rPr>
        <w:t>RESOURCES</w:t>
      </w:r>
    </w:p>
    <w:p>
      <w:pPr>
        <w:spacing w:after="0" w:line="206" w:lineRule="exact"/>
        <w:rPr>
          <w:sz w:val="20"/>
          <w:szCs w:val="20"/>
          <w:color w:val="auto"/>
        </w:rPr>
      </w:pPr>
    </w:p>
    <w:p>
      <w:pPr>
        <w:jc w:val="both"/>
        <w:ind w:right="1719" w:firstLine="525"/>
        <w:spacing w:after="0" w:line="237" w:lineRule="auto"/>
        <w:rPr>
          <w:sz w:val="20"/>
          <w:szCs w:val="20"/>
          <w:color w:val="auto"/>
        </w:rPr>
      </w:pPr>
      <w:r>
        <w:rPr>
          <w:rFonts w:ascii="Courier New" w:cs="Courier New" w:eastAsia="Courier New" w:hAnsi="Courier New"/>
          <w:sz w:val="18"/>
          <w:szCs w:val="18"/>
          <w:color w:val="auto"/>
        </w:rPr>
        <w:t>In 1999, the Company issued 1,686,162 shares of common stock (of which 581,773 shares were issued to related parties, including shareholders) to settle certain accrued expenses, accounts payable, notes payable and long-term debt totaling $1,569,756 (of which $575,162 was payable to related parties, including shareholders). Included in the above amount was $296,298 of accounts payable due to TPR, which was settled through the issuance of 296, 298 shares of common stock.</w:t>
      </w:r>
    </w:p>
    <w:p>
      <w:pPr>
        <w:spacing w:after="0" w:line="207"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The Company's inventory of SoundXchange hardware, which, as of September 30, 1999, accounted for 54% of the Company's current assets, is liquid only to the extent of the Company's sales of such product. The Company has made minor engineering changes in the product in order to be able to utilize the inventory for newly developing markets and the Company hopes to continue to be able to do so in the future.</w:t>
      </w:r>
    </w:p>
    <w:p>
      <w:pPr>
        <w:spacing w:after="0" w:line="211" w:lineRule="exact"/>
        <w:rPr>
          <w:sz w:val="20"/>
          <w:szCs w:val="20"/>
          <w:color w:val="auto"/>
        </w:rPr>
      </w:pPr>
    </w:p>
    <w:p>
      <w:pPr>
        <w:jc w:val="both"/>
        <w:ind w:right="1719" w:firstLine="525"/>
        <w:spacing w:after="0" w:line="271" w:lineRule="auto"/>
        <w:rPr>
          <w:sz w:val="20"/>
          <w:szCs w:val="20"/>
          <w:color w:val="auto"/>
        </w:rPr>
      </w:pPr>
      <w:r>
        <w:rPr>
          <w:rFonts w:ascii="Courier New" w:cs="Courier New" w:eastAsia="Courier New" w:hAnsi="Courier New"/>
          <w:sz w:val="16"/>
          <w:szCs w:val="16"/>
          <w:color w:val="auto"/>
        </w:rPr>
        <w:t>The Company has a net operating loss carryforward for tax purposes of approximately $7,454,000 and research and development tax credits carryforward of approximately $15,000 at September 30, 1999. The Company will not be able to utilize any such credits unless it is able to achieve sufficient sales to generate taxable net income. Also, the amounts of the credits could be substantially limited if a change in control of the Company were to take place.</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CAPITAL</w:t>
      </w:r>
      <w:r>
        <w:rPr>
          <w:sz w:val="20"/>
          <w:szCs w:val="20"/>
          <w:color w:val="auto"/>
        </w:rPr>
        <w:tab/>
      </w:r>
      <w:r>
        <w:rPr>
          <w:rFonts w:ascii="Courier New" w:cs="Courier New" w:eastAsia="Courier New" w:hAnsi="Courier New"/>
          <w:sz w:val="16"/>
          <w:szCs w:val="16"/>
          <w:color w:val="auto"/>
        </w:rPr>
        <w:t>EXPENDITURES</w:t>
      </w:r>
    </w:p>
    <w:p>
      <w:pPr>
        <w:spacing w:after="0" w:line="206" w:lineRule="exact"/>
        <w:rPr>
          <w:sz w:val="20"/>
          <w:szCs w:val="20"/>
          <w:color w:val="auto"/>
        </w:rPr>
      </w:pPr>
    </w:p>
    <w:p>
      <w:pPr>
        <w:ind w:right="1719" w:firstLine="525"/>
        <w:spacing w:after="0" w:line="237" w:lineRule="auto"/>
        <w:rPr>
          <w:sz w:val="20"/>
          <w:szCs w:val="20"/>
          <w:color w:val="auto"/>
        </w:rPr>
      </w:pPr>
      <w:r>
        <w:rPr>
          <w:rFonts w:ascii="Courier New" w:cs="Courier New" w:eastAsia="Courier New" w:hAnsi="Courier New"/>
          <w:sz w:val="18"/>
          <w:szCs w:val="18"/>
          <w:color w:val="auto"/>
        </w:rPr>
        <w:t>It is anticipated that the Company's management will continue to explore the possibility of acquiring additional, complementary businesses, product lines, or technologies, or causing the Company to enter into joint ventures and strategic alliances, for the purposes of enabling the Company to expand the breadth of its product offerings and to obtain additional distribution channels for the Company's existing products. Given the Company's limited cash resources, it is contemplated that any such acquisition would be accomplished, if at all, primarily through the issuance of stock. However, it should be anticipated that any such acquisition, even if made solely for stock, could place additional demands upon the Company's available working capital. The Company has not entered into a definitive agreement pertaining to any such acquisition, joint venture or marketing alliance, nor is the Company currently in negotiations with any third party with respect thereto.</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 w:leader="none" w:pos="1360" w:val="left"/>
        </w:tabs>
        <w:rPr>
          <w:sz w:val="20"/>
          <w:szCs w:val="20"/>
          <w:color w:val="auto"/>
        </w:rPr>
      </w:pPr>
      <w:r>
        <w:rPr>
          <w:rFonts w:ascii="Courier New" w:cs="Courier New" w:eastAsia="Courier New" w:hAnsi="Courier New"/>
          <w:sz w:val="18"/>
          <w:szCs w:val="18"/>
          <w:color w:val="auto"/>
        </w:rPr>
        <w:t>RESULTS</w:t>
        <w:tab/>
        <w:t>OF</w:t>
      </w:r>
      <w:r>
        <w:rPr>
          <w:sz w:val="20"/>
          <w:szCs w:val="20"/>
          <w:color w:val="auto"/>
        </w:rPr>
        <w:tab/>
      </w:r>
      <w:r>
        <w:rPr>
          <w:rFonts w:ascii="Courier New" w:cs="Courier New" w:eastAsia="Courier New" w:hAnsi="Courier New"/>
          <w:sz w:val="16"/>
          <w:szCs w:val="16"/>
          <w:color w:val="auto"/>
        </w:rPr>
        <w:t>OPERATIONS</w:t>
      </w:r>
    </w:p>
    <w:p>
      <w:pPr>
        <w:spacing w:after="0" w:line="200" w:lineRule="exact"/>
        <w:rPr>
          <w:sz w:val="20"/>
          <w:szCs w:val="20"/>
          <w:color w:val="auto"/>
        </w:rPr>
      </w:pPr>
    </w:p>
    <w:p>
      <w:pPr>
        <w:spacing w:after="0"/>
        <w:tabs>
          <w:tab w:leader="none" w:pos="1240" w:val="left"/>
          <w:tab w:leader="none" w:pos="1660" w:val="left"/>
          <w:tab w:leader="none" w:pos="2500" w:val="left"/>
          <w:tab w:leader="none" w:pos="3240" w:val="left"/>
          <w:tab w:leader="none" w:pos="3880" w:val="left"/>
          <w:tab w:leader="none" w:pos="4400" w:val="left"/>
        </w:tabs>
        <w:rPr>
          <w:sz w:val="20"/>
          <w:szCs w:val="20"/>
          <w:color w:val="auto"/>
        </w:rPr>
      </w:pPr>
      <w:r>
        <w:rPr>
          <w:rFonts w:ascii="Courier New" w:cs="Courier New" w:eastAsia="Courier New" w:hAnsi="Courier New"/>
          <w:sz w:val="18"/>
          <w:szCs w:val="18"/>
          <w:color w:val="auto"/>
        </w:rPr>
        <w:t>COMPARISON</w:t>
        <w:tab/>
        <w:t>OF</w:t>
        <w:tab/>
        <w:t>FISCAL</w:t>
        <w:tab/>
        <w:t>YEARS</w:t>
        <w:tab/>
        <w:t>1998</w:t>
        <w:tab/>
        <w:t>AND</w:t>
      </w:r>
      <w:r>
        <w:rPr>
          <w:sz w:val="20"/>
          <w:szCs w:val="20"/>
          <w:color w:val="auto"/>
        </w:rPr>
        <w:tab/>
      </w:r>
      <w:r>
        <w:rPr>
          <w:rFonts w:ascii="Courier New" w:cs="Courier New" w:eastAsia="Courier New" w:hAnsi="Courier New"/>
          <w:sz w:val="16"/>
          <w:szCs w:val="16"/>
          <w:color w:val="auto"/>
        </w:rPr>
        <w:t>1999</w:t>
      </w:r>
    </w:p>
    <w:p>
      <w:pPr>
        <w:spacing w:after="0" w:line="206"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Revenue. Net sales for fiscal years 1999 and 1998 were $37,000 and $60,000, respectively. The Company's decrease in sales is attributable mainly to less emphasis on marketing during the period. Management's main objective was to implement debt to equity conversions with the Company's creditors.</w:t>
      </w:r>
    </w:p>
    <w:p>
      <w:pPr>
        <w:spacing w:after="0" w:line="208" w:lineRule="exact"/>
        <w:rPr>
          <w:sz w:val="20"/>
          <w:szCs w:val="20"/>
          <w:color w:val="auto"/>
        </w:rPr>
      </w:pPr>
    </w:p>
    <w:p>
      <w:pPr>
        <w:jc w:val="both"/>
        <w:ind w:right="1719" w:firstLine="525"/>
        <w:spacing w:after="0" w:line="278" w:lineRule="auto"/>
        <w:rPr>
          <w:sz w:val="20"/>
          <w:szCs w:val="20"/>
          <w:color w:val="auto"/>
        </w:rPr>
      </w:pPr>
      <w:r>
        <w:rPr>
          <w:rFonts w:ascii="Courier New" w:cs="Courier New" w:eastAsia="Courier New" w:hAnsi="Courier New"/>
          <w:sz w:val="16"/>
          <w:szCs w:val="16"/>
          <w:color w:val="auto"/>
        </w:rPr>
        <w:t>Gross Profit. The gross margin for fiscal years 1999 and 1998 were 92% and 89%, respectively. The increase from the previous year is due primarily to a relative increase in sales of the higher profit margin SoundXchange Model K.</w:t>
      </w:r>
    </w:p>
    <w:p>
      <w:pPr>
        <w:spacing w:after="0" w:line="178" w:lineRule="exact"/>
        <w:rPr>
          <w:sz w:val="20"/>
          <w:szCs w:val="20"/>
          <w:color w:val="auto"/>
        </w:rPr>
      </w:pPr>
    </w:p>
    <w:p>
      <w:pPr>
        <w:jc w:val="both"/>
        <w:ind w:right="1719" w:firstLine="525"/>
        <w:spacing w:after="0" w:line="235" w:lineRule="auto"/>
        <w:rPr>
          <w:sz w:val="20"/>
          <w:szCs w:val="20"/>
          <w:color w:val="auto"/>
        </w:rPr>
      </w:pPr>
      <w:r>
        <w:rPr>
          <w:rFonts w:ascii="Courier New" w:cs="Courier New" w:eastAsia="Courier New" w:hAnsi="Courier New"/>
          <w:sz w:val="18"/>
          <w:szCs w:val="18"/>
          <w:color w:val="auto"/>
        </w:rPr>
        <w:t>Sales and marketing expenses. Sales and marketing expenses for fiscal 1999 and 1998 were $34,000 and $38,000, respectively.</w:t>
      </w:r>
    </w:p>
    <w:p>
      <w:pPr>
        <w:spacing w:after="0" w:line="207"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Research and development. There were no research and development expenses for fiscal 1999 and 1998. There were no amounts capitalized in connection with software development for fiscal 1999 and 1998.</w:t>
      </w:r>
    </w:p>
    <w:p>
      <w:pPr>
        <w:spacing w:after="0" w:line="207"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General and administrative. General and administrative expenses for fiscal 1999 and 1998 were $56,000 and $40,000, respectively. The increase was primarily due to the additional costs to consummate the Offer to Creditors.</w:t>
      </w:r>
    </w:p>
    <w:p>
      <w:pPr>
        <w:spacing w:after="0" w:line="207" w:lineRule="exact"/>
        <w:rPr>
          <w:sz w:val="20"/>
          <w:szCs w:val="20"/>
          <w:color w:val="auto"/>
        </w:rPr>
      </w:pPr>
    </w:p>
    <w:p>
      <w:pPr>
        <w:jc w:val="both"/>
        <w:ind w:right="1719" w:firstLine="525"/>
        <w:spacing w:after="0" w:line="235" w:lineRule="auto"/>
        <w:rPr>
          <w:sz w:val="20"/>
          <w:szCs w:val="20"/>
          <w:color w:val="auto"/>
        </w:rPr>
      </w:pPr>
      <w:r>
        <w:rPr>
          <w:rFonts w:ascii="Courier New" w:cs="Courier New" w:eastAsia="Courier New" w:hAnsi="Courier New"/>
          <w:sz w:val="18"/>
          <w:szCs w:val="18"/>
          <w:color w:val="auto"/>
        </w:rPr>
        <w:t>Depreciation and Amortization. Depreciation and amortization expenses for fiscal 1999 and 1998 were $8,000 and $9,000, respectively</w:t>
      </w:r>
    </w:p>
    <w:p>
      <w:pPr>
        <w:spacing w:after="0" w:line="207"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Nonoperating Income (Expense). Nonoperating expenses for fiscal 1999 and 1998 were $312,000 and $141,000, respectively. In 1999, the Company incurred debt conversion expenses of $261,000 related to the issuance of Series B Preferred stock.</w:t>
      </w:r>
    </w:p>
    <w:p>
      <w:pPr>
        <w:spacing w:after="0" w:line="200" w:lineRule="exact"/>
        <w:rPr>
          <w:sz w:val="20"/>
          <w:szCs w:val="20"/>
          <w:color w:val="auto"/>
        </w:rPr>
      </w:pPr>
    </w:p>
    <w:p>
      <w:pPr>
        <w:spacing w:after="0" w:line="204"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39"/>
          </w:cols>
          <w:pgMar w:left="320" w:top="513" w:right="1440" w:bottom="203" w:gutter="0" w:footer="0" w:header="0"/>
        </w:sectPr>
      </w:pPr>
    </w:p>
    <w:bookmarkStart w:id="6" w:name="page7"/>
    <w:bookmarkEnd w:id="6"/>
    <w:p>
      <w:pPr>
        <w:ind w:right="1719" w:firstLine="525"/>
        <w:spacing w:after="0" w:line="267" w:lineRule="auto"/>
        <w:rPr>
          <w:sz w:val="20"/>
          <w:szCs w:val="20"/>
          <w:color w:val="auto"/>
        </w:rPr>
      </w:pPr>
      <w:r>
        <w:rPr>
          <w:rFonts w:ascii="Courier New" w:cs="Courier New" w:eastAsia="Courier New" w:hAnsi="Courier New"/>
          <w:sz w:val="16"/>
          <w:szCs w:val="16"/>
          <w:color w:val="auto"/>
        </w:rPr>
        <w:t>Net Gain (Loss). The Company showed a net gain for fiscal 1999 of $593,000 or $0.15 per share on 3,905,990 weighted average shares outstanding compared to</w:t>
      </w:r>
    </w:p>
    <w:p>
      <w:pPr>
        <w:spacing w:after="0" w:line="1" w:lineRule="exact"/>
        <w:rPr>
          <w:sz w:val="20"/>
          <w:szCs w:val="20"/>
          <w:color w:val="auto"/>
        </w:rPr>
      </w:pPr>
    </w:p>
    <w:p>
      <w:pPr>
        <w:jc w:val="both"/>
        <w:ind w:right="1719" w:firstLine="8"/>
        <w:spacing w:after="0" w:line="236" w:lineRule="auto"/>
        <w:tabs>
          <w:tab w:leader="none" w:pos="31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for fiscal 1998 of ($165,000) or ($0.05) per share on 3,191,369 weighted average shares outstanding. The increase in income in 1999 was due largely to gain on settlement of liabilities of $961,000 which is reported as an extraordinary item.</w:t>
      </w:r>
    </w:p>
    <w:p>
      <w:pPr>
        <w:spacing w:after="0" w:line="208"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Management believes that the largest challenges that the Company will confront during 2000 are in its attempt to achieve increases in revenues and profitability during fiscal 2000. While the Company is optimistic about the possibility of its overcoming these challenges and achieving its goals, there can be no assurance that it will be able to achieve any or all of its objectives for fiscal 2000.</w:t>
      </w:r>
    </w:p>
    <w:p>
      <w:pPr>
        <w:spacing w:after="0" w:line="211" w:lineRule="exact"/>
        <w:rPr>
          <w:sz w:val="20"/>
          <w:szCs w:val="20"/>
          <w:color w:val="auto"/>
        </w:rPr>
      </w:pPr>
    </w:p>
    <w:p>
      <w:pPr>
        <w:jc w:val="both"/>
        <w:ind w:right="1719" w:firstLine="525"/>
        <w:spacing w:after="0" w:line="237" w:lineRule="auto"/>
        <w:rPr>
          <w:sz w:val="20"/>
          <w:szCs w:val="20"/>
          <w:color w:val="auto"/>
        </w:rPr>
      </w:pPr>
      <w:r>
        <w:rPr>
          <w:rFonts w:ascii="Courier New" w:cs="Courier New" w:eastAsia="Courier New" w:hAnsi="Courier New"/>
          <w:sz w:val="18"/>
          <w:szCs w:val="18"/>
          <w:color w:val="auto"/>
        </w:rPr>
        <w:t>The Company's management does not believe that the year 2000 issues will have a material effect on the Company's business, results of operations or financial condition. The Company operates on a stand-alone PC, which the manufacturer has represented to be year 2000 compliant. The SoundXchange product manufactured by the Company does not require software; therefore, Company management believes the risk of the year 2000 affecting these products is remote.</w:t>
      </w:r>
    </w:p>
    <w:p>
      <w:pPr>
        <w:spacing w:after="0" w:line="201" w:lineRule="exact"/>
        <w:rPr>
          <w:sz w:val="20"/>
          <w:szCs w:val="20"/>
          <w:color w:val="auto"/>
        </w:rPr>
      </w:pPr>
    </w:p>
    <w:p>
      <w:pPr>
        <w:spacing w:after="0"/>
        <w:tabs>
          <w:tab w:leader="none" w:pos="620" w:val="left"/>
          <w:tab w:leader="none" w:pos="1360" w:val="left"/>
          <w:tab w:leader="none" w:pos="2300" w:val="left"/>
          <w:tab w:leader="none" w:pos="3460" w:val="left"/>
        </w:tabs>
        <w:rPr>
          <w:sz w:val="20"/>
          <w:szCs w:val="20"/>
          <w:color w:val="auto"/>
        </w:rPr>
      </w:pPr>
      <w:r>
        <w:rPr>
          <w:rFonts w:ascii="Courier New" w:cs="Courier New" w:eastAsia="Courier New" w:hAnsi="Courier New"/>
          <w:sz w:val="18"/>
          <w:szCs w:val="18"/>
          <w:color w:val="auto"/>
        </w:rPr>
        <w:t>ITEM</w:t>
        <w:tab/>
        <w:t>7.</w:t>
      </w:r>
      <w:r>
        <w:rPr>
          <w:sz w:val="20"/>
          <w:szCs w:val="20"/>
          <w:color w:val="auto"/>
        </w:rPr>
        <w:tab/>
      </w:r>
      <w:r>
        <w:rPr>
          <w:rFonts w:ascii="Courier New" w:cs="Courier New" w:eastAsia="Courier New" w:hAnsi="Courier New"/>
          <w:sz w:val="18"/>
          <w:szCs w:val="18"/>
          <w:color w:val="auto"/>
        </w:rPr>
        <w:t>AUDITED</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jc w:val="both"/>
        <w:ind w:right="1719" w:firstLine="1050"/>
        <w:spacing w:after="0" w:line="235" w:lineRule="auto"/>
        <w:rPr>
          <w:sz w:val="20"/>
          <w:szCs w:val="20"/>
          <w:color w:val="auto"/>
        </w:rPr>
      </w:pPr>
      <w:r>
        <w:rPr>
          <w:rFonts w:ascii="Courier New" w:cs="Courier New" w:eastAsia="Courier New" w:hAnsi="Courier New"/>
          <w:sz w:val="18"/>
          <w:szCs w:val="18"/>
          <w:color w:val="auto"/>
        </w:rPr>
        <w:t>The Audited Financial Statements are filed as part of this Annual Report on form 10-KSB.</w:t>
      </w:r>
    </w:p>
    <w:p>
      <w:pPr>
        <w:spacing w:after="0" w:line="207" w:lineRule="exact"/>
        <w:rPr>
          <w:sz w:val="20"/>
          <w:szCs w:val="20"/>
          <w:color w:val="auto"/>
        </w:rPr>
      </w:pPr>
    </w:p>
    <w:p>
      <w:pPr>
        <w:jc w:val="both"/>
        <w:ind w:left="640" w:right="1719" w:hanging="1365"/>
        <w:spacing w:after="0" w:line="235" w:lineRule="auto"/>
        <w:tabs>
          <w:tab w:leader="none" w:pos="620" w:val="left"/>
        </w:tabs>
        <w:rPr>
          <w:sz w:val="20"/>
          <w:szCs w:val="20"/>
          <w:color w:val="auto"/>
        </w:rPr>
      </w:pPr>
      <w:r>
        <w:rPr>
          <w:rFonts w:ascii="Courier New" w:cs="Courier New" w:eastAsia="Courier New" w:hAnsi="Courier New"/>
          <w:sz w:val="18"/>
          <w:szCs w:val="18"/>
          <w:color w:val="auto"/>
        </w:rPr>
        <w:t>ITEM</w:t>
        <w:tab/>
        <w:t>8. CHANGES IN AND DISAGREEMENTS WITH ACCOUNTANTS ON ACCOUNTING AND FINANCIAL DISCLOSURE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PART</w:t>
      </w:r>
      <w:r>
        <w:rPr>
          <w:sz w:val="20"/>
          <w:szCs w:val="20"/>
          <w:color w:val="auto"/>
        </w:rPr>
        <w:tab/>
      </w:r>
      <w:r>
        <w:rPr>
          <w:rFonts w:ascii="Courier New" w:cs="Courier New" w:eastAsia="Courier New" w:hAnsi="Courier New"/>
          <w:sz w:val="16"/>
          <w:szCs w:val="16"/>
          <w:color w:val="auto"/>
        </w:rPr>
        <w:t>III</w:t>
      </w:r>
    </w:p>
    <w:p>
      <w:pPr>
        <w:spacing w:after="0" w:line="200" w:lineRule="exact"/>
        <w:rPr>
          <w:sz w:val="20"/>
          <w:szCs w:val="20"/>
          <w:color w:val="auto"/>
        </w:rPr>
      </w:pPr>
    </w:p>
    <w:p>
      <w:pPr>
        <w:spacing w:after="0"/>
        <w:tabs>
          <w:tab w:leader="none" w:pos="620" w:val="left"/>
          <w:tab w:leader="none" w:pos="1360" w:val="left"/>
          <w:tab w:leader="none" w:pos="2500" w:val="left"/>
          <w:tab w:leader="none" w:pos="3040" w:val="left"/>
          <w:tab w:leader="none" w:pos="4180" w:val="left"/>
          <w:tab w:leader="none" w:pos="5240" w:val="left"/>
          <w:tab w:leader="none" w:pos="5660" w:val="left"/>
          <w:tab w:leader="none" w:pos="6180" w:val="left"/>
        </w:tabs>
        <w:rPr>
          <w:sz w:val="20"/>
          <w:szCs w:val="20"/>
          <w:color w:val="auto"/>
        </w:rPr>
      </w:pPr>
      <w:r>
        <w:rPr>
          <w:rFonts w:ascii="Courier New" w:cs="Courier New" w:eastAsia="Courier New" w:hAnsi="Courier New"/>
          <w:sz w:val="18"/>
          <w:szCs w:val="18"/>
          <w:color w:val="auto"/>
        </w:rPr>
        <w:t>ITEM</w:t>
        <w:tab/>
        <w:t>9.</w:t>
      </w:r>
      <w:r>
        <w:rPr>
          <w:sz w:val="20"/>
          <w:szCs w:val="20"/>
          <w:color w:val="auto"/>
        </w:rPr>
        <w:tab/>
      </w:r>
      <w:r>
        <w:rPr>
          <w:rFonts w:ascii="Courier New" w:cs="Courier New" w:eastAsia="Courier New" w:hAnsi="Courier New"/>
          <w:sz w:val="18"/>
          <w:szCs w:val="18"/>
          <w:color w:val="auto"/>
        </w:rPr>
        <w:t>DIRECTORS</w:t>
        <w:tab/>
        <w:t>AND</w:t>
        <w:tab/>
        <w:t>EXECUTIVE</w:t>
        <w:tab/>
        <w:t>OFFICERS</w:t>
        <w:tab/>
        <w:t>OF</w:t>
        <w:tab/>
        <w:t>THE</w:t>
      </w:r>
      <w:r>
        <w:rPr>
          <w:sz w:val="20"/>
          <w:szCs w:val="20"/>
          <w:color w:val="auto"/>
        </w:rPr>
        <w:tab/>
      </w:r>
      <w:r>
        <w:rPr>
          <w:rFonts w:ascii="Courier New" w:cs="Courier New" w:eastAsia="Courier New" w:hAnsi="Courier New"/>
          <w:sz w:val="16"/>
          <w:szCs w:val="16"/>
          <w:color w:val="auto"/>
        </w:rPr>
        <w:t>REGISTRANT</w:t>
      </w:r>
    </w:p>
    <w:p>
      <w:pPr>
        <w:spacing w:after="0" w:line="206" w:lineRule="exact"/>
        <w:rPr>
          <w:sz w:val="20"/>
          <w:szCs w:val="20"/>
          <w:color w:val="auto"/>
        </w:rPr>
      </w:pPr>
    </w:p>
    <w:p>
      <w:pPr>
        <w:jc w:val="both"/>
        <w:ind w:right="1719" w:firstLine="525"/>
        <w:spacing w:after="0" w:line="235" w:lineRule="auto"/>
        <w:rPr>
          <w:sz w:val="20"/>
          <w:szCs w:val="20"/>
          <w:color w:val="auto"/>
        </w:rPr>
      </w:pPr>
      <w:r>
        <w:rPr>
          <w:rFonts w:ascii="Courier New" w:cs="Courier New" w:eastAsia="Courier New" w:hAnsi="Courier New"/>
          <w:sz w:val="18"/>
          <w:szCs w:val="18"/>
          <w:color w:val="auto"/>
        </w:rPr>
        <w:t>Set forth below is certain information with respect to the directors and executive officers of the Company:</w:t>
      </w:r>
    </w:p>
    <w:p>
      <w:pPr>
        <w:spacing w:after="0" w:line="207" w:lineRule="exact"/>
        <w:rPr>
          <w:sz w:val="20"/>
          <w:szCs w:val="20"/>
          <w:color w:val="auto"/>
        </w:rPr>
      </w:pPr>
    </w:p>
    <w:p>
      <w:pPr>
        <w:jc w:val="both"/>
        <w:ind w:right="1719" w:firstLine="525"/>
        <w:spacing w:after="0" w:line="237" w:lineRule="auto"/>
        <w:rPr>
          <w:sz w:val="20"/>
          <w:szCs w:val="20"/>
          <w:color w:val="auto"/>
        </w:rPr>
      </w:pPr>
      <w:r>
        <w:rPr>
          <w:rFonts w:ascii="Courier New" w:cs="Courier New" w:eastAsia="Courier New" w:hAnsi="Courier New"/>
          <w:sz w:val="18"/>
          <w:szCs w:val="18"/>
          <w:color w:val="auto"/>
        </w:rPr>
        <w:t>Robert Stahl, 42, has served as President, COO of the Company from November, 1996. Mr. Stahl previously was Vice President of Sales for the Company. Mr. Stahl is co-founder and Vice President of CSS Ltd. (CSS) since its founding in 1989. He is also owner and operator of a family farm. From 1990 to 1995, Mr. Stahl was in charge of National Sales for Medical Communications Software, a company involved in providing computer software to nursing homes nationally.</w:t>
      </w:r>
    </w:p>
    <w:p>
      <w:pPr>
        <w:spacing w:after="0" w:line="207" w:lineRule="exact"/>
        <w:rPr>
          <w:sz w:val="20"/>
          <w:szCs w:val="20"/>
          <w:color w:val="auto"/>
        </w:rPr>
      </w:pPr>
    </w:p>
    <w:p>
      <w:pPr>
        <w:jc w:val="both"/>
        <w:ind w:right="1719" w:firstLine="525"/>
        <w:spacing w:after="0" w:line="237" w:lineRule="auto"/>
        <w:rPr>
          <w:sz w:val="20"/>
          <w:szCs w:val="20"/>
          <w:color w:val="auto"/>
        </w:rPr>
      </w:pPr>
      <w:r>
        <w:rPr>
          <w:rFonts w:ascii="Courier New" w:cs="Courier New" w:eastAsia="Courier New" w:hAnsi="Courier New"/>
          <w:sz w:val="18"/>
          <w:szCs w:val="18"/>
          <w:color w:val="auto"/>
        </w:rPr>
        <w:t>Russell Pohl, 74, has served as a director of the Company since February 1993 and served as President from September 1995 to November 1996. From November 1996 Mr. Pohl has served as CEO. Mr. Pohl served as Branch Chief and Chief of Data Services for the Earth Resources Observation Systems Data Center of the U.S. Department of the Interior from 1975 to May 1991. Mr. Pohl retired from that position in May 1991. Prior to his work with the Federal government, Mr. Pohl was Vice-President of Raven Industries, Inc. for some 16 years. Early in his career, he was a physicist for a Fortune 500 company.</w:t>
      </w:r>
    </w:p>
    <w:p>
      <w:pPr>
        <w:spacing w:after="0" w:line="207" w:lineRule="exact"/>
        <w:rPr>
          <w:sz w:val="20"/>
          <w:szCs w:val="20"/>
          <w:color w:val="auto"/>
        </w:rPr>
      </w:pPr>
    </w:p>
    <w:p>
      <w:pPr>
        <w:jc w:val="both"/>
        <w:ind w:right="1719" w:firstLine="525"/>
        <w:spacing w:after="0" w:line="267" w:lineRule="auto"/>
        <w:rPr>
          <w:sz w:val="20"/>
          <w:szCs w:val="20"/>
          <w:color w:val="auto"/>
        </w:rPr>
      </w:pPr>
      <w:r>
        <w:rPr>
          <w:rFonts w:ascii="Courier New" w:cs="Courier New" w:eastAsia="Courier New" w:hAnsi="Courier New"/>
          <w:sz w:val="16"/>
          <w:szCs w:val="16"/>
          <w:color w:val="auto"/>
        </w:rPr>
        <w:t>Gerard L. Kappenman, 55, served as President, Chief Executive Officer and a director of the Company from its incorporation in October 1989 until September 1995. He continues to serve as a director and Secretary. Mr. Kappenman is currently an instructor at Southeast Technical Institute. Prior to joining InterActive, Mr. Kappenman was a self-employed product and marketing consultant from March 1988 through September 1989. From February 1987 to March 1988, Mr. Kappenman was Senior Vice President, Product Marketing at Data Voice Solutions,</w:t>
      </w:r>
    </w:p>
    <w:p>
      <w:pPr>
        <w:spacing w:after="0" w:line="3" w:lineRule="exact"/>
        <w:rPr>
          <w:sz w:val="20"/>
          <w:szCs w:val="20"/>
          <w:color w:val="auto"/>
        </w:rPr>
      </w:pPr>
    </w:p>
    <w:p>
      <w:pPr>
        <w:ind w:right="1719" w:firstLine="8"/>
        <w:spacing w:after="0" w:line="235" w:lineRule="auto"/>
        <w:tabs>
          <w:tab w:leader="none" w:pos="31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engaged in the development and marketing of personal computer-based communications products.</w:t>
      </w:r>
    </w:p>
    <w:p>
      <w:pPr>
        <w:spacing w:after="0" w:line="207"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William J. Hanson, 51, has served as a director of the Company since its incorporation in October 1989 and served as its Chief Operating Officer from October 1992 to January 1994. Mr. Hanson is a founder and President of Torrey Pines Research, Inc. ("Torrey Pines") since its founding in October 1986 and CEO of TPR Group, Inc. founded in 1996. Torrey Pines is a technical research and development firm.</w:t>
      </w:r>
    </w:p>
    <w:p>
      <w:pPr>
        <w:spacing w:after="0" w:line="200" w:lineRule="exact"/>
        <w:rPr>
          <w:sz w:val="20"/>
          <w:szCs w:val="20"/>
          <w:color w:val="auto"/>
        </w:rPr>
      </w:pPr>
    </w:p>
    <w:p>
      <w:pPr>
        <w:spacing w:after="0" w:line="207"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39"/>
          </w:cols>
          <w:pgMar w:left="320" w:top="519" w:right="1440" w:bottom="607" w:gutter="0" w:footer="0" w:header="0"/>
        </w:sectPr>
      </w:pPr>
    </w:p>
    <w:bookmarkStart w:id="7" w:name="page8"/>
    <w:bookmarkEnd w:id="7"/>
    <w:p>
      <w:pPr>
        <w:spacing w:after="0"/>
        <w:tabs>
          <w:tab w:leader="none" w:pos="620" w:val="left"/>
          <w:tab w:leader="none" w:pos="1460" w:val="left"/>
          <w:tab w:leader="none" w:pos="2720" w:val="left"/>
          <w:tab w:leader="none" w:pos="4180" w:val="left"/>
          <w:tab w:leader="none" w:pos="4720" w:val="left"/>
        </w:tabs>
        <w:rPr>
          <w:sz w:val="20"/>
          <w:szCs w:val="20"/>
          <w:color w:val="auto"/>
        </w:rPr>
      </w:pPr>
      <w:r>
        <w:rPr>
          <w:rFonts w:ascii="Courier New" w:cs="Courier New" w:eastAsia="Courier New" w:hAnsi="Courier New"/>
          <w:sz w:val="18"/>
          <w:szCs w:val="18"/>
          <w:color w:val="auto"/>
        </w:rPr>
        <w:t>ITEM</w:t>
        <w:tab/>
        <w:t>10.</w:t>
      </w:r>
      <w:r>
        <w:rPr>
          <w:sz w:val="20"/>
          <w:szCs w:val="20"/>
          <w:color w:val="auto"/>
        </w:rPr>
        <w:tab/>
      </w:r>
      <w:r>
        <w:rPr>
          <w:rFonts w:ascii="Courier New" w:cs="Courier New" w:eastAsia="Courier New" w:hAnsi="Courier New"/>
          <w:sz w:val="18"/>
          <w:szCs w:val="18"/>
          <w:color w:val="auto"/>
        </w:rPr>
        <w:t>MANAGEMENT</w:t>
        <w:tab/>
        <w:t>REMUNERATION</w:t>
        <w:tab/>
        <w:t>AND</w:t>
      </w:r>
      <w:r>
        <w:rPr>
          <w:sz w:val="20"/>
          <w:szCs w:val="20"/>
          <w:color w:val="auto"/>
        </w:rPr>
        <w:tab/>
      </w:r>
      <w:r>
        <w:rPr>
          <w:rFonts w:ascii="Courier New" w:cs="Courier New" w:eastAsia="Courier New" w:hAnsi="Courier New"/>
          <w:sz w:val="16"/>
          <w:szCs w:val="16"/>
          <w:color w:val="auto"/>
        </w:rPr>
        <w:t>TRANSACTIONS</w:t>
      </w: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EXECUTIVE</w:t>
        <w:tab/>
        <w:t>COMPENSATION</w:t>
      </w:r>
    </w:p>
    <w:p>
      <w:pPr>
        <w:spacing w:after="0" w:line="206" w:lineRule="exact"/>
        <w:rPr>
          <w:sz w:val="20"/>
          <w:szCs w:val="20"/>
          <w:color w:val="auto"/>
        </w:rPr>
      </w:pPr>
    </w:p>
    <w:p>
      <w:pPr>
        <w:jc w:val="both"/>
        <w:ind w:right="2200" w:firstLine="525"/>
        <w:spacing w:after="0" w:line="236" w:lineRule="auto"/>
        <w:rPr>
          <w:sz w:val="20"/>
          <w:szCs w:val="20"/>
          <w:color w:val="auto"/>
        </w:rPr>
      </w:pPr>
      <w:r>
        <w:rPr>
          <w:rFonts w:ascii="Courier New" w:cs="Courier New" w:eastAsia="Courier New" w:hAnsi="Courier New"/>
          <w:sz w:val="18"/>
          <w:szCs w:val="18"/>
          <w:color w:val="auto"/>
        </w:rPr>
        <w:t>The following table sets forth the compensation received from the Company by the Company's CEO and President, COO for services rendered in all capacities to the Company during the fiscal year ended September 30, 1999, as well as such compensation received by him from the Company during the Company's two previous fiscal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SUMMARY</w:t>
            </w:r>
          </w:p>
        </w:tc>
        <w:tc>
          <w:tcPr>
            <w:tcW w:w="1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COMPENSATION</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TABLE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6"/>
        </w:trPr>
        <w:tc>
          <w:tcPr>
            <w:tcW w:w="2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LONG-TERM COMPENSATION</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2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8"/>
              </w:rPr>
              <w:t>----------------------</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2940" w:type="dxa"/>
            <w:vAlign w:val="bottom"/>
          </w:tcPr>
          <w:p>
            <w:pPr>
              <w:spacing w:after="0"/>
              <w:rPr>
                <w:sz w:val="17"/>
                <w:szCs w:val="17"/>
                <w:color w:val="auto"/>
              </w:rPr>
            </w:pPr>
          </w:p>
        </w:tc>
        <w:tc>
          <w:tcPr>
            <w:tcW w:w="9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ANNUAL</w:t>
            </w:r>
          </w:p>
        </w:tc>
        <w:tc>
          <w:tcPr>
            <w:tcW w:w="16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COMPENSATION</w:t>
            </w:r>
          </w:p>
        </w:tc>
        <w:tc>
          <w:tcPr>
            <w:tcW w:w="7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AWARDS</w:t>
            </w:r>
          </w:p>
        </w:tc>
        <w:tc>
          <w:tcPr>
            <w:tcW w:w="142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PAYOUTS</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2940" w:type="dxa"/>
            <w:vAlign w:val="bottom"/>
          </w:tcPr>
          <w:p>
            <w:pPr>
              <w:spacing w:after="0"/>
              <w:rPr>
                <w:sz w:val="17"/>
                <w:szCs w:val="17"/>
                <w:color w:val="auto"/>
              </w:rPr>
            </w:pPr>
          </w:p>
        </w:tc>
        <w:tc>
          <w:tcPr>
            <w:tcW w:w="2580" w:type="dxa"/>
            <w:vAlign w:val="bottom"/>
            <w:gridSpan w:val="3"/>
          </w:tcPr>
          <w:p>
            <w:pPr>
              <w:ind w:left="120"/>
              <w:spacing w:after="0" w:line="202"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242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2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gridSpan w:val="2"/>
          </w:tcPr>
          <w:p>
            <w:pPr>
              <w:jc w:val="right"/>
              <w:ind w:right="1132"/>
              <w:spacing w:after="0" w:line="202" w:lineRule="exact"/>
              <w:rPr>
                <w:sz w:val="20"/>
                <w:szCs w:val="20"/>
                <w:color w:val="auto"/>
              </w:rPr>
            </w:pPr>
            <w:r>
              <w:rPr>
                <w:rFonts w:ascii="Courier New" w:cs="Courier New" w:eastAsia="Courier New" w:hAnsi="Courier New"/>
                <w:sz w:val="18"/>
                <w:szCs w:val="18"/>
                <w:color w:val="auto"/>
              </w:rPr>
              <w:t>RESTRICTED</w:t>
            </w:r>
          </w:p>
        </w:tc>
        <w:tc>
          <w:tcPr>
            <w:tcW w:w="880" w:type="dxa"/>
            <w:vAlign w:val="bottom"/>
          </w:tcPr>
          <w:p>
            <w:pPr>
              <w:spacing w:after="0"/>
              <w:rPr>
                <w:sz w:val="17"/>
                <w:szCs w:val="17"/>
                <w:color w:val="auto"/>
              </w:rPr>
            </w:pPr>
          </w:p>
        </w:tc>
        <w:tc>
          <w:tcPr>
            <w:tcW w:w="1060" w:type="dxa"/>
            <w:vAlign w:val="bottom"/>
          </w:tcPr>
          <w:p>
            <w:pPr>
              <w:jc w:val="center"/>
              <w:ind w:right="12"/>
              <w:spacing w:after="0" w:line="202" w:lineRule="exact"/>
              <w:rPr>
                <w:sz w:val="20"/>
                <w:szCs w:val="20"/>
                <w:color w:val="auto"/>
              </w:rPr>
            </w:pPr>
            <w:r>
              <w:rPr>
                <w:rFonts w:ascii="Courier New" w:cs="Courier New" w:eastAsia="Courier New" w:hAnsi="Courier New"/>
                <w:sz w:val="18"/>
                <w:szCs w:val="18"/>
                <w:color w:val="auto"/>
                <w:w w:val="98"/>
              </w:rPr>
              <w:t>ALL</w:t>
            </w:r>
          </w:p>
        </w:tc>
      </w:tr>
      <w:tr>
        <w:trPr>
          <w:trHeight w:val="202"/>
        </w:trPr>
        <w:tc>
          <w:tcPr>
            <w:tcW w:w="2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STOCK</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jc w:val="center"/>
              <w:ind w:right="12"/>
              <w:spacing w:after="0" w:line="202" w:lineRule="exact"/>
              <w:rPr>
                <w:sz w:val="20"/>
                <w:szCs w:val="20"/>
                <w:color w:val="auto"/>
              </w:rPr>
            </w:pPr>
            <w:r>
              <w:rPr>
                <w:rFonts w:ascii="Courier New" w:cs="Courier New" w:eastAsia="Courier New" w:hAnsi="Courier New"/>
                <w:sz w:val="18"/>
                <w:szCs w:val="18"/>
                <w:color w:val="auto"/>
                <w:w w:val="96"/>
              </w:rPr>
              <w:t>OTHER</w:t>
            </w:r>
          </w:p>
        </w:tc>
      </w:tr>
      <w:tr>
        <w:trPr>
          <w:trHeight w:val="202"/>
        </w:trPr>
        <w:tc>
          <w:tcPr>
            <w:tcW w:w="2940" w:type="dxa"/>
            <w:vAlign w:val="bottom"/>
          </w:tcPr>
          <w:p>
            <w:pPr>
              <w:spacing w:after="0"/>
              <w:rPr>
                <w:sz w:val="17"/>
                <w:szCs w:val="17"/>
                <w:color w:val="auto"/>
              </w:rPr>
            </w:pPr>
          </w:p>
        </w:tc>
        <w:tc>
          <w:tcPr>
            <w:tcW w:w="1540" w:type="dxa"/>
            <w:vAlign w:val="bottom"/>
            <w:gridSpan w:val="2"/>
          </w:tcPr>
          <w:p>
            <w:pPr>
              <w:ind w:left="740"/>
              <w:spacing w:after="0" w:line="202" w:lineRule="exact"/>
              <w:rPr>
                <w:sz w:val="20"/>
                <w:szCs w:val="20"/>
                <w:color w:val="auto"/>
              </w:rPr>
            </w:pPr>
            <w:r>
              <w:rPr>
                <w:rFonts w:ascii="Courier New" w:cs="Courier New" w:eastAsia="Courier New" w:hAnsi="Courier New"/>
                <w:sz w:val="18"/>
                <w:szCs w:val="18"/>
                <w:color w:val="auto"/>
              </w:rPr>
              <w:t>SALARY</w:t>
            </w:r>
          </w:p>
        </w:tc>
        <w:tc>
          <w:tcPr>
            <w:tcW w:w="1040" w:type="dxa"/>
            <w:vAlign w:val="bottom"/>
          </w:tcPr>
          <w:p>
            <w:pPr>
              <w:jc w:val="center"/>
              <w:ind w:right="112"/>
              <w:spacing w:after="0" w:line="202" w:lineRule="exact"/>
              <w:rPr>
                <w:sz w:val="20"/>
                <w:szCs w:val="20"/>
                <w:color w:val="auto"/>
              </w:rPr>
            </w:pPr>
            <w:r>
              <w:rPr>
                <w:rFonts w:ascii="Courier New" w:cs="Courier New" w:eastAsia="Courier New" w:hAnsi="Courier New"/>
                <w:sz w:val="18"/>
                <w:szCs w:val="18"/>
                <w:color w:val="auto"/>
                <w:w w:val="96"/>
              </w:rPr>
              <w:t>BONUS</w:t>
            </w:r>
          </w:p>
        </w:tc>
        <w:tc>
          <w:tcPr>
            <w:tcW w:w="74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AWARDS</w:t>
            </w:r>
          </w:p>
        </w:tc>
        <w:tc>
          <w:tcPr>
            <w:tcW w:w="142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OPTIONS</w:t>
            </w:r>
          </w:p>
        </w:tc>
        <w:tc>
          <w:tcPr>
            <w:tcW w:w="8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LTIP</w:t>
            </w:r>
          </w:p>
        </w:tc>
        <w:tc>
          <w:tcPr>
            <w:tcW w:w="1060" w:type="dxa"/>
            <w:vAlign w:val="bottom"/>
          </w:tcPr>
          <w:p>
            <w:pPr>
              <w:jc w:val="center"/>
              <w:ind w:right="12"/>
              <w:spacing w:after="0" w:line="202" w:lineRule="exact"/>
              <w:rPr>
                <w:sz w:val="20"/>
                <w:szCs w:val="20"/>
                <w:color w:val="auto"/>
              </w:rPr>
            </w:pPr>
            <w:r>
              <w:rPr>
                <w:rFonts w:ascii="Courier New" w:cs="Courier New" w:eastAsia="Courier New" w:hAnsi="Courier New"/>
                <w:sz w:val="18"/>
                <w:szCs w:val="18"/>
                <w:color w:val="auto"/>
                <w:w w:val="95"/>
              </w:rPr>
              <w:t>COMPEN-</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NAME AND PRINCIPAL POSITION</w:t>
            </w:r>
          </w:p>
        </w:tc>
        <w:tc>
          <w:tcPr>
            <w:tcW w:w="9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YEAR</w:t>
            </w:r>
          </w:p>
        </w:tc>
        <w:tc>
          <w:tcPr>
            <w:tcW w:w="580" w:type="dxa"/>
            <w:vAlign w:val="bottom"/>
          </w:tcPr>
          <w:p>
            <w:pPr>
              <w:spacing w:after="0" w:line="202"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PAYOUTS</w:t>
            </w:r>
          </w:p>
        </w:tc>
        <w:tc>
          <w:tcPr>
            <w:tcW w:w="10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SATION</w:t>
            </w:r>
          </w:p>
        </w:tc>
      </w:tr>
      <w:tr>
        <w:trPr>
          <w:trHeight w:val="202"/>
        </w:trPr>
        <w:tc>
          <w:tcPr>
            <w:tcW w:w="5520" w:type="dxa"/>
            <w:vAlign w:val="bottom"/>
            <w:gridSpan w:val="4"/>
          </w:tcPr>
          <w:p>
            <w:pPr>
              <w:spacing w:after="0" w:line="202" w:lineRule="exact"/>
              <w:rPr>
                <w:sz w:val="20"/>
                <w:szCs w:val="20"/>
                <w:color w:val="auto"/>
              </w:rPr>
            </w:pPr>
            <w:r>
              <w:rPr>
                <w:rFonts w:ascii="Courier New" w:cs="Courier New" w:eastAsia="Courier New" w:hAnsi="Courier New"/>
                <w:sz w:val="18"/>
                <w:szCs w:val="18"/>
                <w:color w:val="auto"/>
                <w:w w:val="97"/>
              </w:rPr>
              <w:t>- ---------------------------  ----  -------  ------</w:t>
            </w:r>
          </w:p>
        </w:tc>
        <w:tc>
          <w:tcPr>
            <w:tcW w:w="5100" w:type="dxa"/>
            <w:vAlign w:val="bottom"/>
            <w:gridSpan w:val="5"/>
          </w:tcPr>
          <w:p>
            <w:pPr>
              <w:ind w:left="160"/>
              <w:spacing w:after="0" w:line="202" w:lineRule="exact"/>
              <w:rPr>
                <w:sz w:val="20"/>
                <w:szCs w:val="20"/>
                <w:color w:val="auto"/>
              </w:rPr>
            </w:pPr>
            <w:r>
              <w:rPr>
                <w:rFonts w:ascii="Courier New" w:cs="Courier New" w:eastAsia="Courier New" w:hAnsi="Courier New"/>
                <w:sz w:val="18"/>
                <w:szCs w:val="18"/>
                <w:color w:val="auto"/>
                <w:w w:val="96"/>
              </w:rPr>
              <w:t>-------  -----------  -------  -------  -------</w:t>
            </w:r>
          </w:p>
        </w:tc>
      </w:tr>
      <w:tr>
        <w:trPr>
          <w:trHeight w:val="404"/>
        </w:trPr>
        <w:tc>
          <w:tcPr>
            <w:tcW w:w="2940" w:type="dxa"/>
            <w:vAlign w:val="bottom"/>
          </w:tcPr>
          <w:p>
            <w:pPr>
              <w:spacing w:after="0"/>
              <w:rPr>
                <w:sz w:val="20"/>
                <w:szCs w:val="20"/>
                <w:color w:val="auto"/>
              </w:rPr>
            </w:pPr>
            <w:r>
              <w:rPr>
                <w:rFonts w:ascii="Courier New" w:cs="Courier New" w:eastAsia="Courier New" w:hAnsi="Courier New"/>
                <w:sz w:val="18"/>
                <w:szCs w:val="18"/>
                <w:color w:val="auto"/>
              </w:rPr>
              <w:t>Robert Stahl</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1999</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7,281</w:t>
            </w:r>
          </w:p>
        </w:tc>
        <w:tc>
          <w:tcPr>
            <w:tcW w:w="1000" w:type="dxa"/>
            <w:vAlign w:val="bottom"/>
          </w:tcPr>
          <w:p>
            <w:pPr>
              <w:spacing w:after="0"/>
              <w:rPr>
                <w:sz w:val="24"/>
                <w:szCs w:val="24"/>
                <w:color w:val="auto"/>
              </w:rPr>
            </w:pPr>
          </w:p>
        </w:tc>
        <w:tc>
          <w:tcPr>
            <w:tcW w:w="1420" w:type="dxa"/>
            <w:vAlign w:val="bottom"/>
          </w:tcPr>
          <w:p>
            <w:pPr>
              <w:jc w:val="right"/>
              <w:ind w:right="1012"/>
              <w:spacing w:after="0"/>
              <w:rPr>
                <w:sz w:val="20"/>
                <w:szCs w:val="20"/>
                <w:color w:val="auto"/>
              </w:rPr>
            </w:pPr>
            <w:r>
              <w:rPr>
                <w:rFonts w:ascii="Courier New" w:cs="Courier New" w:eastAsia="Courier New" w:hAnsi="Courier New"/>
                <w:sz w:val="18"/>
                <w:szCs w:val="18"/>
                <w:color w:val="auto"/>
                <w:w w:val="92"/>
              </w:rPr>
              <w:t>844</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29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w w:val="99"/>
              </w:rPr>
              <w:t>President, COO. . . . . .</w:t>
            </w:r>
          </w:p>
        </w:tc>
        <w:tc>
          <w:tcPr>
            <w:tcW w:w="9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1998</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23,337</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2940" w:type="dxa"/>
            <w:vAlign w:val="bottom"/>
          </w:tcPr>
          <w:p>
            <w:pPr>
              <w:spacing w:after="0"/>
              <w:rPr>
                <w:sz w:val="17"/>
                <w:szCs w:val="17"/>
                <w:color w:val="auto"/>
              </w:rPr>
            </w:pPr>
          </w:p>
        </w:tc>
        <w:tc>
          <w:tcPr>
            <w:tcW w:w="9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1997</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18,271</w:t>
            </w:r>
          </w:p>
        </w:tc>
        <w:tc>
          <w:tcPr>
            <w:tcW w:w="1000" w:type="dxa"/>
            <w:vAlign w:val="bottom"/>
          </w:tcPr>
          <w:p>
            <w:pPr>
              <w:spacing w:after="0"/>
              <w:rPr>
                <w:sz w:val="17"/>
                <w:szCs w:val="17"/>
                <w:color w:val="auto"/>
              </w:rPr>
            </w:pPr>
          </w:p>
        </w:tc>
        <w:tc>
          <w:tcPr>
            <w:tcW w:w="1420" w:type="dxa"/>
            <w:vAlign w:val="bottom"/>
          </w:tcPr>
          <w:p>
            <w:pPr>
              <w:jc w:val="right"/>
              <w:ind w:right="1012"/>
              <w:spacing w:after="0" w:line="202" w:lineRule="exact"/>
              <w:rPr>
                <w:sz w:val="20"/>
                <w:szCs w:val="20"/>
                <w:color w:val="auto"/>
              </w:rPr>
            </w:pPr>
            <w:r>
              <w:rPr>
                <w:rFonts w:ascii="Courier New" w:cs="Courier New" w:eastAsia="Courier New" w:hAnsi="Courier New"/>
                <w:sz w:val="18"/>
                <w:szCs w:val="18"/>
                <w:color w:val="auto"/>
                <w:w w:val="92"/>
              </w:rPr>
              <w:t>195</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4"/>
        </w:trPr>
        <w:tc>
          <w:tcPr>
            <w:tcW w:w="2940" w:type="dxa"/>
            <w:vAlign w:val="bottom"/>
          </w:tcPr>
          <w:p>
            <w:pPr>
              <w:spacing w:after="0"/>
              <w:rPr>
                <w:sz w:val="20"/>
                <w:szCs w:val="20"/>
                <w:color w:val="auto"/>
              </w:rPr>
            </w:pPr>
            <w:r>
              <w:rPr>
                <w:rFonts w:ascii="Courier New" w:cs="Courier New" w:eastAsia="Courier New" w:hAnsi="Courier New"/>
                <w:sz w:val="18"/>
                <w:szCs w:val="18"/>
                <w:color w:val="auto"/>
              </w:rPr>
              <w:t>Russ Pohl . . . . . . . . .</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1999</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938</w:t>
            </w:r>
          </w:p>
        </w:tc>
        <w:tc>
          <w:tcPr>
            <w:tcW w:w="1000" w:type="dxa"/>
            <w:vAlign w:val="bottom"/>
          </w:tcPr>
          <w:p>
            <w:pPr>
              <w:spacing w:after="0"/>
              <w:rPr>
                <w:sz w:val="24"/>
                <w:szCs w:val="24"/>
                <w:color w:val="auto"/>
              </w:rPr>
            </w:pPr>
          </w:p>
        </w:tc>
        <w:tc>
          <w:tcPr>
            <w:tcW w:w="1420" w:type="dxa"/>
            <w:vAlign w:val="bottom"/>
          </w:tcPr>
          <w:p>
            <w:pPr>
              <w:jc w:val="right"/>
              <w:ind w:right="1012"/>
              <w:spacing w:after="0"/>
              <w:rPr>
                <w:sz w:val="20"/>
                <w:szCs w:val="20"/>
                <w:color w:val="auto"/>
              </w:rPr>
            </w:pPr>
            <w:r>
              <w:rPr>
                <w:rFonts w:ascii="Courier New" w:cs="Courier New" w:eastAsia="Courier New" w:hAnsi="Courier New"/>
                <w:sz w:val="18"/>
                <w:szCs w:val="18"/>
                <w:color w:val="auto"/>
                <w:w w:val="92"/>
              </w:rPr>
              <w:t>131</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29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CEO...........</w:t>
            </w:r>
          </w:p>
        </w:tc>
        <w:tc>
          <w:tcPr>
            <w:tcW w:w="9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1998</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5,202</w:t>
            </w:r>
          </w:p>
        </w:tc>
        <w:tc>
          <w:tcPr>
            <w:tcW w:w="1000" w:type="dxa"/>
            <w:vAlign w:val="bottom"/>
          </w:tcPr>
          <w:p>
            <w:pPr>
              <w:spacing w:after="0"/>
              <w:rPr>
                <w:sz w:val="17"/>
                <w:szCs w:val="17"/>
                <w:color w:val="auto"/>
              </w:rPr>
            </w:pPr>
          </w:p>
        </w:tc>
        <w:tc>
          <w:tcPr>
            <w:tcW w:w="1420" w:type="dxa"/>
            <w:vAlign w:val="bottom"/>
          </w:tcPr>
          <w:p>
            <w:pPr>
              <w:jc w:val="right"/>
              <w:ind w:right="1012"/>
              <w:spacing w:after="0" w:line="202" w:lineRule="exact"/>
              <w:rPr>
                <w:sz w:val="20"/>
                <w:szCs w:val="20"/>
                <w:color w:val="auto"/>
              </w:rPr>
            </w:pPr>
            <w:r>
              <w:rPr>
                <w:rFonts w:ascii="Courier New" w:cs="Courier New" w:eastAsia="Courier New" w:hAnsi="Courier New"/>
                <w:sz w:val="18"/>
                <w:szCs w:val="18"/>
                <w:color w:val="auto"/>
                <w:w w:val="92"/>
              </w:rPr>
              <w:t>360</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2940" w:type="dxa"/>
            <w:vAlign w:val="bottom"/>
          </w:tcPr>
          <w:p>
            <w:pPr>
              <w:spacing w:after="0"/>
              <w:rPr>
                <w:sz w:val="17"/>
                <w:szCs w:val="17"/>
                <w:color w:val="auto"/>
              </w:rPr>
            </w:pPr>
          </w:p>
        </w:tc>
        <w:tc>
          <w:tcPr>
            <w:tcW w:w="9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1997</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2,140</w:t>
            </w:r>
          </w:p>
        </w:tc>
        <w:tc>
          <w:tcPr>
            <w:tcW w:w="1000" w:type="dxa"/>
            <w:vAlign w:val="bottom"/>
          </w:tcPr>
          <w:p>
            <w:pPr>
              <w:spacing w:after="0"/>
              <w:rPr>
                <w:sz w:val="17"/>
                <w:szCs w:val="17"/>
                <w:color w:val="auto"/>
              </w:rPr>
            </w:pPr>
          </w:p>
        </w:tc>
        <w:tc>
          <w:tcPr>
            <w:tcW w:w="1420" w:type="dxa"/>
            <w:vAlign w:val="bottom"/>
          </w:tcPr>
          <w:p>
            <w:pPr>
              <w:jc w:val="right"/>
              <w:ind w:right="1012"/>
              <w:spacing w:after="0" w:line="202" w:lineRule="exact"/>
              <w:rPr>
                <w:sz w:val="20"/>
                <w:szCs w:val="20"/>
                <w:color w:val="auto"/>
              </w:rPr>
            </w:pPr>
            <w:r>
              <w:rPr>
                <w:rFonts w:ascii="Courier New" w:cs="Courier New" w:eastAsia="Courier New" w:hAnsi="Courier New"/>
                <w:sz w:val="18"/>
                <w:szCs w:val="18"/>
                <w:color w:val="auto"/>
                <w:w w:val="92"/>
              </w:rPr>
              <w:t>172</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STOCK</w:t>
        <w:tab/>
        <w:t>OPTIONS</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CEO and President did not exercise any options during fiscal year 1999.</w:t>
      </w:r>
    </w:p>
    <w:p>
      <w:pPr>
        <w:spacing w:after="0" w:line="200" w:lineRule="exact"/>
        <w:rPr>
          <w:sz w:val="20"/>
          <w:szCs w:val="20"/>
          <w:color w:val="auto"/>
        </w:rPr>
      </w:pP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COMPENSATION</w:t>
        <w:tab/>
        <w:t>OF</w:t>
      </w:r>
      <w:r>
        <w:rPr>
          <w:sz w:val="20"/>
          <w:szCs w:val="20"/>
          <w:color w:val="auto"/>
        </w:rPr>
        <w:tab/>
      </w:r>
      <w:r>
        <w:rPr>
          <w:rFonts w:ascii="Courier New" w:cs="Courier New" w:eastAsia="Courier New" w:hAnsi="Courier New"/>
          <w:sz w:val="16"/>
          <w:szCs w:val="16"/>
          <w:color w:val="auto"/>
        </w:rPr>
        <w:t>DIRECTORS</w:t>
      </w:r>
    </w:p>
    <w:p>
      <w:pPr>
        <w:spacing w:after="0" w:line="206" w:lineRule="exact"/>
        <w:rPr>
          <w:sz w:val="20"/>
          <w:szCs w:val="20"/>
          <w:color w:val="auto"/>
        </w:rPr>
      </w:pPr>
    </w:p>
    <w:p>
      <w:pPr>
        <w:jc w:val="both"/>
        <w:ind w:right="2200" w:firstLine="525"/>
        <w:spacing w:after="0" w:line="236" w:lineRule="auto"/>
        <w:rPr>
          <w:sz w:val="20"/>
          <w:szCs w:val="20"/>
          <w:color w:val="auto"/>
        </w:rPr>
      </w:pPr>
      <w:r>
        <w:rPr>
          <w:rFonts w:ascii="Courier New" w:cs="Courier New" w:eastAsia="Courier New" w:hAnsi="Courier New"/>
          <w:sz w:val="18"/>
          <w:szCs w:val="18"/>
          <w:color w:val="auto"/>
        </w:rPr>
        <w:t>Each member of the Board of Directors of the Company who is not an officer of the Company receives a fee of $100 for each meeting attended and is reimbursed for all reasonable expenses incurred by such member in attending such meeting.</w:t>
      </w:r>
    </w:p>
    <w:p>
      <w:pPr>
        <w:spacing w:after="0" w:line="208" w:lineRule="exact"/>
        <w:rPr>
          <w:sz w:val="20"/>
          <w:szCs w:val="20"/>
          <w:color w:val="auto"/>
        </w:rPr>
      </w:pPr>
    </w:p>
    <w:p>
      <w:pPr>
        <w:jc w:val="both"/>
        <w:ind w:right="2200" w:firstLine="525"/>
        <w:spacing w:after="0" w:line="237" w:lineRule="auto"/>
        <w:rPr>
          <w:sz w:val="20"/>
          <w:szCs w:val="20"/>
          <w:color w:val="auto"/>
        </w:rPr>
      </w:pPr>
      <w:r>
        <w:rPr>
          <w:rFonts w:ascii="Courier New" w:cs="Courier New" w:eastAsia="Courier New" w:hAnsi="Courier New"/>
          <w:sz w:val="18"/>
          <w:szCs w:val="18"/>
          <w:color w:val="auto"/>
        </w:rPr>
        <w:t>The Company's Bylaws provide that the Company must indemnify its officers and directors, and may indemnify its employees and other agents, to the fullest extent permitted by South Dakota law. At present, there is no pending litigation or proceeding involving any director, officer, employee, or agent of the Company where indemnification will be required or permitted. Insofar as indemnification for liabilities arising under the Securities Act of 1933 may be permitted to officers, directors or persons controlling the Company pursuant to the foregoing provisions, the Company has been informed that in the opinion of the Securities and Exchange Commission such indemnification is against public policy as expressed in the Act and is therefore unenforceable.</w:t>
      </w:r>
    </w:p>
    <w:p>
      <w:pPr>
        <w:spacing w:after="0" w:line="20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EMPLOYMENT</w:t>
        <w:tab/>
        <w:t>ARRANGEMENTS</w:t>
      </w:r>
    </w:p>
    <w:p>
      <w:pPr>
        <w:spacing w:after="0" w:line="206" w:lineRule="exact"/>
        <w:rPr>
          <w:sz w:val="20"/>
          <w:szCs w:val="20"/>
          <w:color w:val="auto"/>
        </w:rPr>
      </w:pPr>
    </w:p>
    <w:p>
      <w:pPr>
        <w:jc w:val="both"/>
        <w:ind w:right="2200" w:firstLine="525"/>
        <w:spacing w:after="0" w:line="237" w:lineRule="auto"/>
        <w:rPr>
          <w:sz w:val="20"/>
          <w:szCs w:val="20"/>
          <w:color w:val="auto"/>
        </w:rPr>
      </w:pPr>
      <w:r>
        <w:rPr>
          <w:rFonts w:ascii="Courier New" w:cs="Courier New" w:eastAsia="Courier New" w:hAnsi="Courier New"/>
          <w:sz w:val="18"/>
          <w:szCs w:val="18"/>
          <w:color w:val="auto"/>
        </w:rPr>
        <w:t>Mr. Pohl has served as CEO and director since November 1996. Mr. Pohl's compensation as CEO is commissions on a sliding scale based on volume of sales. In October 1998, the Board of Directors agreed to pay Mr. Pohl 100,000 shares of the Company's restricted Common Stock each year for a period of two years. During fiscal 1999, Mr. Pohl was paid $938 in commissions and was issued 3,480 shares of Common Stock for unpaid commissions and 900 shares for unpaid Director's fees.</w:t>
      </w:r>
    </w:p>
    <w:p>
      <w:pPr>
        <w:spacing w:after="0" w:line="207" w:lineRule="exact"/>
        <w:rPr>
          <w:sz w:val="20"/>
          <w:szCs w:val="20"/>
          <w:color w:val="auto"/>
        </w:rPr>
      </w:pPr>
    </w:p>
    <w:p>
      <w:pPr>
        <w:jc w:val="both"/>
        <w:ind w:right="2200" w:firstLine="525"/>
        <w:spacing w:after="0" w:line="236" w:lineRule="auto"/>
        <w:rPr>
          <w:sz w:val="20"/>
          <w:szCs w:val="20"/>
          <w:color w:val="auto"/>
        </w:rPr>
      </w:pPr>
      <w:r>
        <w:rPr>
          <w:rFonts w:ascii="Courier New" w:cs="Courier New" w:eastAsia="Courier New" w:hAnsi="Courier New"/>
          <w:sz w:val="18"/>
          <w:szCs w:val="18"/>
          <w:color w:val="auto"/>
        </w:rPr>
        <w:t>In November 1997, Mr. Stahl was appointed President, COO. In April 1997, Mr. Stahl's compensation was revised to a sliding commission based on volume of sales. During 1999, CSS Ltd. (a Company in which Mr. Stahl is a principal) was paid $7,281 in commissions and issued 28,146 shares of Common Stock for Mr. Stahl's services.</w:t>
      </w:r>
    </w:p>
    <w:p>
      <w:pPr>
        <w:spacing w:after="0" w:line="200" w:lineRule="exact"/>
        <w:rPr>
          <w:sz w:val="20"/>
          <w:szCs w:val="20"/>
          <w:color w:val="auto"/>
        </w:rPr>
      </w:pPr>
    </w:p>
    <w:p>
      <w:pPr>
        <w:spacing w:after="0" w:line="206"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620"/>
          </w:cols>
          <w:pgMar w:left="320" w:top="513" w:right="959" w:bottom="809" w:gutter="0" w:footer="0" w:header="0"/>
        </w:sectPr>
      </w:pPr>
    </w:p>
    <w:bookmarkStart w:id="8" w:name="page9"/>
    <w:bookmarkEnd w:id="8"/>
    <w:p>
      <w:pPr>
        <w:spacing w:after="0" w:line="38" w:lineRule="exact"/>
        <w:rPr>
          <w:sz w:val="20"/>
          <w:szCs w:val="20"/>
          <w:color w:val="auto"/>
        </w:rPr>
      </w:pPr>
    </w:p>
    <w:p>
      <w:pPr>
        <w:spacing w:after="0"/>
        <w:tabs>
          <w:tab w:leader="none" w:pos="620" w:val="left"/>
          <w:tab w:leader="none" w:pos="1460" w:val="left"/>
          <w:tab w:leader="none" w:pos="2500" w:val="left"/>
          <w:tab w:leader="none" w:pos="3660" w:val="left"/>
          <w:tab w:leader="none" w:pos="4080" w:val="left"/>
          <w:tab w:leader="none" w:pos="5040" w:val="left"/>
        </w:tabs>
        <w:rPr>
          <w:sz w:val="20"/>
          <w:szCs w:val="20"/>
          <w:color w:val="auto"/>
        </w:rPr>
      </w:pPr>
      <w:r>
        <w:rPr>
          <w:rFonts w:ascii="Courier New" w:cs="Courier New" w:eastAsia="Courier New" w:hAnsi="Courier New"/>
          <w:sz w:val="18"/>
          <w:szCs w:val="18"/>
          <w:color w:val="auto"/>
        </w:rPr>
        <w:t>ITEM</w:t>
        <w:tab/>
        <w:t>11.</w:t>
      </w:r>
      <w:r>
        <w:rPr>
          <w:sz w:val="20"/>
          <w:szCs w:val="20"/>
          <w:color w:val="auto"/>
        </w:rPr>
        <w:tab/>
      </w:r>
      <w:r>
        <w:rPr>
          <w:rFonts w:ascii="Courier New" w:cs="Courier New" w:eastAsia="Courier New" w:hAnsi="Courier New"/>
          <w:sz w:val="18"/>
          <w:szCs w:val="18"/>
          <w:color w:val="auto"/>
        </w:rPr>
        <w:t>SECURITY</w:t>
        <w:tab/>
        <w:t>OWNERSHIP</w:t>
        <w:tab/>
        <w:t>OF</w:t>
        <w:tab/>
        <w:t>CERTAIN</w:t>
      </w:r>
      <w:r>
        <w:rPr>
          <w:sz w:val="20"/>
          <w:szCs w:val="20"/>
          <w:color w:val="auto"/>
        </w:rPr>
        <w:tab/>
      </w:r>
      <w:r>
        <w:rPr>
          <w:rFonts w:ascii="Courier New" w:cs="Courier New" w:eastAsia="Courier New" w:hAnsi="Courier New"/>
          <w:sz w:val="16"/>
          <w:szCs w:val="16"/>
          <w:color w:val="auto"/>
        </w:rPr>
        <w:t>BENEFICIAL OWNERS AND MANAGEMENT</w:t>
      </w:r>
    </w:p>
    <w:p>
      <w:pPr>
        <w:spacing w:after="0" w:line="200"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PRINCIPAL STOCKHOLDERS</w:t>
      </w:r>
    </w:p>
    <w:p>
      <w:pPr>
        <w:spacing w:after="0" w:line="206" w:lineRule="exact"/>
        <w:rPr>
          <w:sz w:val="20"/>
          <w:szCs w:val="20"/>
          <w:color w:val="auto"/>
        </w:rPr>
      </w:pPr>
    </w:p>
    <w:p>
      <w:pPr>
        <w:ind w:right="1719" w:firstLine="525"/>
        <w:spacing w:after="0" w:line="267"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shares of the Company's Common Stock as of September 30, 1999 by</w:t>
      </w:r>
    </w:p>
    <w:p>
      <w:pPr>
        <w:spacing w:after="0" w:line="1" w:lineRule="exact"/>
        <w:rPr>
          <w:sz w:val="20"/>
          <w:szCs w:val="20"/>
          <w:color w:val="auto"/>
        </w:rPr>
      </w:pPr>
    </w:p>
    <w:p>
      <w:pPr>
        <w:jc w:val="both"/>
        <w:ind w:right="1719" w:firstLine="8"/>
        <w:spacing w:after="0" w:line="235" w:lineRule="auto"/>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Company's directors, (ii) each person known to the Company to beneficially own more than 5% of the outstanding shares of Common Stock, and</w:t>
      </w:r>
    </w:p>
    <w:p>
      <w:pPr>
        <w:spacing w:after="0" w:line="5" w:lineRule="exact"/>
        <w:rPr>
          <w:sz w:val="20"/>
          <w:szCs w:val="20"/>
          <w:color w:val="auto"/>
        </w:rPr>
      </w:pPr>
    </w:p>
    <w:p>
      <w:pPr>
        <w:jc w:val="both"/>
        <w:ind w:right="1719" w:firstLine="8"/>
        <w:spacing w:after="0" w:line="236" w:lineRule="auto"/>
        <w:tabs>
          <w:tab w:leader="none" w:pos="7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directors and officers of the Company as a group. The address for each stockholder listed is in care of the Company, 204 North Main, Humboldt, South Dakota 57035.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NUMBER OF</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PERCENT OF</w:t>
            </w:r>
          </w:p>
        </w:tc>
      </w:tr>
      <w:tr>
        <w:trPr>
          <w:trHeight w:val="202"/>
        </w:trPr>
        <w:tc>
          <w:tcPr>
            <w:tcW w:w="4740" w:type="dxa"/>
            <w:vAlign w:val="bottom"/>
          </w:tcPr>
          <w:p>
            <w:pPr>
              <w:spacing w:after="0" w:line="202" w:lineRule="exact"/>
              <w:rPr>
                <w:sz w:val="20"/>
                <w:szCs w:val="20"/>
                <w:color w:val="auto"/>
              </w:rPr>
            </w:pPr>
            <w:r>
              <w:rPr>
                <w:rFonts w:ascii="Courier New" w:cs="Courier New" w:eastAsia="Courier New" w:hAnsi="Courier New"/>
                <w:sz w:val="18"/>
                <w:szCs w:val="18"/>
                <w:color w:val="auto"/>
              </w:rPr>
              <w:t>NAME</w:t>
            </w:r>
          </w:p>
        </w:tc>
        <w:tc>
          <w:tcPr>
            <w:tcW w:w="15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SHARES</w:t>
            </w:r>
          </w:p>
        </w:tc>
        <w:tc>
          <w:tcPr>
            <w:tcW w:w="21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w w:val="95"/>
              </w:rPr>
              <w:t>OUTSTANDING SHARES</w:t>
            </w:r>
          </w:p>
        </w:tc>
      </w:tr>
      <w:tr>
        <w:trPr>
          <w:trHeight w:val="202"/>
        </w:trPr>
        <w:tc>
          <w:tcPr>
            <w:tcW w:w="474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4740" w:type="dxa"/>
            <w:vAlign w:val="bottom"/>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BENEFICIALLY</w:t>
            </w:r>
          </w:p>
        </w:tc>
        <w:tc>
          <w:tcPr>
            <w:tcW w:w="2100" w:type="dxa"/>
            <w:vAlign w:val="bottom"/>
          </w:tcPr>
          <w:p>
            <w:pPr>
              <w:spacing w:after="0"/>
              <w:rPr>
                <w:sz w:val="17"/>
                <w:szCs w:val="17"/>
                <w:color w:val="auto"/>
              </w:rPr>
            </w:pPr>
          </w:p>
        </w:tc>
      </w:tr>
      <w:tr>
        <w:trPr>
          <w:trHeight w:val="202"/>
        </w:trPr>
        <w:tc>
          <w:tcPr>
            <w:tcW w:w="4740" w:type="dxa"/>
            <w:vAlign w:val="bottom"/>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spacing w:after="0"/>
              <w:rPr>
                <w:sz w:val="17"/>
                <w:szCs w:val="17"/>
                <w:color w:val="auto"/>
              </w:rPr>
            </w:pPr>
          </w:p>
        </w:tc>
      </w:tr>
      <w:tr>
        <w:trPr>
          <w:trHeight w:val="202"/>
        </w:trPr>
        <w:tc>
          <w:tcPr>
            <w:tcW w:w="4740" w:type="dxa"/>
            <w:vAlign w:val="bottom"/>
          </w:tcPr>
          <w:p>
            <w:pPr>
              <w:spacing w:after="0"/>
              <w:rPr>
                <w:sz w:val="17"/>
                <w:szCs w:val="17"/>
                <w:color w:val="auto"/>
              </w:rPr>
            </w:pPr>
          </w:p>
        </w:tc>
        <w:tc>
          <w:tcPr>
            <w:tcW w:w="158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OWNED(1)</w:t>
            </w:r>
          </w:p>
        </w:tc>
        <w:tc>
          <w:tcPr>
            <w:tcW w:w="2100" w:type="dxa"/>
            <w:vAlign w:val="bottom"/>
          </w:tcPr>
          <w:p>
            <w:pPr>
              <w:spacing w:after="0"/>
              <w:rPr>
                <w:sz w:val="17"/>
                <w:szCs w:val="17"/>
                <w:color w:val="auto"/>
              </w:rPr>
            </w:pPr>
          </w:p>
        </w:tc>
      </w:tr>
      <w:tr>
        <w:trPr>
          <w:trHeight w:val="202"/>
        </w:trPr>
        <w:tc>
          <w:tcPr>
            <w:tcW w:w="4740" w:type="dxa"/>
            <w:vAlign w:val="bottom"/>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spacing w:after="0"/>
              <w:rPr>
                <w:sz w:val="17"/>
                <w:szCs w:val="17"/>
                <w:color w:val="auto"/>
              </w:rPr>
            </w:pPr>
          </w:p>
        </w:tc>
      </w:tr>
      <w:tr>
        <w:trPr>
          <w:trHeight w:val="404"/>
        </w:trPr>
        <w:tc>
          <w:tcPr>
            <w:tcW w:w="4740" w:type="dxa"/>
            <w:vAlign w:val="bottom"/>
          </w:tcPr>
          <w:p>
            <w:pPr>
              <w:spacing w:after="0"/>
              <w:rPr>
                <w:sz w:val="20"/>
                <w:szCs w:val="20"/>
                <w:color w:val="auto"/>
              </w:rPr>
            </w:pPr>
            <w:r>
              <w:rPr>
                <w:rFonts w:ascii="Courier New" w:cs="Courier New" w:eastAsia="Courier New" w:hAnsi="Courier New"/>
                <w:sz w:val="18"/>
                <w:szCs w:val="18"/>
                <w:color w:val="auto"/>
                <w:w w:val="99"/>
              </w:rPr>
              <w:t>Gerard L. Kappenman(2) . . . . . . . . . . .</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156,722</w:t>
            </w:r>
          </w:p>
        </w:tc>
        <w:tc>
          <w:tcPr>
            <w:tcW w:w="2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w:t>
            </w:r>
          </w:p>
        </w:tc>
      </w:tr>
      <w:tr>
        <w:trPr>
          <w:trHeight w:val="202"/>
        </w:trPr>
        <w:tc>
          <w:tcPr>
            <w:tcW w:w="474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William J. Hanson(3) . . . . . . . . . . . .</w:t>
            </w:r>
          </w:p>
        </w:tc>
        <w:tc>
          <w:tcPr>
            <w:tcW w:w="15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22,064,450</w:t>
            </w:r>
          </w:p>
        </w:tc>
        <w:tc>
          <w:tcPr>
            <w:tcW w:w="21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84.7</w:t>
            </w:r>
          </w:p>
        </w:tc>
      </w:tr>
      <w:tr>
        <w:trPr>
          <w:trHeight w:val="202"/>
        </w:trPr>
        <w:tc>
          <w:tcPr>
            <w:tcW w:w="4740" w:type="dxa"/>
            <w:vAlign w:val="bottom"/>
          </w:tcPr>
          <w:p>
            <w:pPr>
              <w:spacing w:after="0" w:line="202" w:lineRule="exact"/>
              <w:rPr>
                <w:sz w:val="20"/>
                <w:szCs w:val="20"/>
                <w:color w:val="auto"/>
              </w:rPr>
            </w:pPr>
            <w:r>
              <w:rPr>
                <w:rFonts w:ascii="Courier New" w:cs="Courier New" w:eastAsia="Courier New" w:hAnsi="Courier New"/>
                <w:sz w:val="18"/>
                <w:szCs w:val="18"/>
                <w:color w:val="auto"/>
              </w:rPr>
              <w:t>Russell Pohl(4)</w:t>
            </w:r>
          </w:p>
        </w:tc>
        <w:tc>
          <w:tcPr>
            <w:tcW w:w="15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217,512</w:t>
            </w:r>
          </w:p>
        </w:tc>
        <w:tc>
          <w:tcPr>
            <w:tcW w:w="21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4.4</w:t>
            </w:r>
          </w:p>
        </w:tc>
      </w:tr>
      <w:tr>
        <w:trPr>
          <w:trHeight w:val="202"/>
        </w:trPr>
        <w:tc>
          <w:tcPr>
            <w:tcW w:w="4740" w:type="dxa"/>
            <w:vAlign w:val="bottom"/>
          </w:tcPr>
          <w:p>
            <w:pPr>
              <w:spacing w:after="0" w:line="202" w:lineRule="exact"/>
              <w:rPr>
                <w:sz w:val="20"/>
                <w:szCs w:val="20"/>
                <w:color w:val="auto"/>
              </w:rPr>
            </w:pPr>
            <w:r>
              <w:rPr>
                <w:rFonts w:ascii="Courier New" w:cs="Courier New" w:eastAsia="Courier New" w:hAnsi="Courier New"/>
                <w:sz w:val="18"/>
                <w:szCs w:val="18"/>
                <w:color w:val="auto"/>
              </w:rPr>
              <w:t>Robert Stahl/CSS Ltd.(5)</w:t>
            </w:r>
          </w:p>
        </w:tc>
        <w:tc>
          <w:tcPr>
            <w:tcW w:w="15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110,548</w:t>
            </w:r>
          </w:p>
        </w:tc>
        <w:tc>
          <w:tcPr>
            <w:tcW w:w="21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2.3</w:t>
            </w:r>
          </w:p>
        </w:tc>
      </w:tr>
      <w:tr>
        <w:trPr>
          <w:trHeight w:val="202"/>
        </w:trPr>
        <w:tc>
          <w:tcPr>
            <w:tcW w:w="4740" w:type="dxa"/>
            <w:vAlign w:val="bottom"/>
          </w:tcPr>
          <w:p>
            <w:pPr>
              <w:spacing w:after="0" w:line="202" w:lineRule="exact"/>
              <w:rPr>
                <w:sz w:val="20"/>
                <w:szCs w:val="20"/>
                <w:color w:val="auto"/>
              </w:rPr>
            </w:pPr>
            <w:r>
              <w:rPr>
                <w:rFonts w:ascii="Courier New" w:cs="Courier New" w:eastAsia="Courier New" w:hAnsi="Courier New"/>
                <w:sz w:val="18"/>
                <w:szCs w:val="18"/>
                <w:color w:val="auto"/>
              </w:rPr>
              <w:t>TPR(6)...................</w:t>
            </w:r>
          </w:p>
        </w:tc>
        <w:tc>
          <w:tcPr>
            <w:tcW w:w="15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21,893,042</w:t>
            </w:r>
          </w:p>
        </w:tc>
        <w:tc>
          <w:tcPr>
            <w:tcW w:w="21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84.4</w:t>
            </w:r>
          </w:p>
        </w:tc>
      </w:tr>
      <w:tr>
        <w:trPr>
          <w:trHeight w:val="202"/>
        </w:trPr>
        <w:tc>
          <w:tcPr>
            <w:tcW w:w="4740" w:type="dxa"/>
            <w:vAlign w:val="bottom"/>
          </w:tcPr>
          <w:p>
            <w:pPr>
              <w:spacing w:after="0" w:line="202" w:lineRule="exact"/>
              <w:rPr>
                <w:sz w:val="20"/>
                <w:szCs w:val="20"/>
                <w:color w:val="auto"/>
              </w:rPr>
            </w:pPr>
            <w:r>
              <w:rPr>
                <w:rFonts w:ascii="Courier New" w:cs="Courier New" w:eastAsia="Courier New" w:hAnsi="Courier New"/>
                <w:sz w:val="18"/>
                <w:szCs w:val="18"/>
                <w:color w:val="auto"/>
              </w:rPr>
              <w:t>All directors and officers as a group (four</w:t>
            </w:r>
          </w:p>
        </w:tc>
        <w:tc>
          <w:tcPr>
            <w:tcW w:w="15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22,549,232</w:t>
            </w:r>
          </w:p>
        </w:tc>
        <w:tc>
          <w:tcPr>
            <w:tcW w:w="21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86.4</w:t>
            </w:r>
          </w:p>
        </w:tc>
      </w:tr>
      <w:tr>
        <w:trPr>
          <w:trHeight w:val="202"/>
        </w:trPr>
        <w:tc>
          <w:tcPr>
            <w:tcW w:w="4740" w:type="dxa"/>
            <w:vAlign w:val="bottom"/>
          </w:tcPr>
          <w:p>
            <w:pPr>
              <w:spacing w:after="0" w:line="202" w:lineRule="exact"/>
              <w:rPr>
                <w:sz w:val="20"/>
                <w:szCs w:val="20"/>
                <w:color w:val="auto"/>
              </w:rPr>
            </w:pPr>
            <w:r>
              <w:rPr>
                <w:rFonts w:ascii="Courier New" w:cs="Courier New" w:eastAsia="Courier New" w:hAnsi="Courier New"/>
                <w:sz w:val="18"/>
                <w:szCs w:val="18"/>
                <w:color w:val="auto"/>
              </w:rPr>
              <w:t>persons) (2)(3)(4)(5)</w:t>
            </w: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5" w:lineRule="exact"/>
        <w:rPr>
          <w:sz w:val="20"/>
          <w:szCs w:val="20"/>
          <w:color w:val="auto"/>
        </w:rPr>
      </w:pPr>
    </w:p>
    <w:p>
      <w:pPr>
        <w:jc w:val="both"/>
        <w:ind w:right="1719" w:firstLine="8"/>
        <w:spacing w:after="0" w:line="237" w:lineRule="auto"/>
        <w:tabs>
          <w:tab w:leader="none" w:pos="8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shown include the shares of Common Stock which each named stockholder has the right to acquire within 60 days of September 30, 1999. In calculating percentage ownership, all shares of Common Stock which a named stockholder has the right to acquire upon conversion of Series A Preferred Stock (taking into consideration the liquidation preferences of the Series A Preferred Stock), Series B Preferred Stock and of notes payable by the Company and exercise of warrants and of options issued pursuant to the Company's stock option plans are deemed to be outstanding for the purpose of computing the percentage of Common Stock owned by such stockholder, but are not deemed to be outstanding for the purpose of computing the percentage of Common Stock owned by any other stockholder.</w:t>
      </w:r>
    </w:p>
    <w:p>
      <w:pPr>
        <w:spacing w:after="0" w:line="209" w:lineRule="exact"/>
        <w:rPr>
          <w:rFonts w:ascii="Courier New" w:cs="Courier New" w:eastAsia="Courier New" w:hAnsi="Courier New"/>
          <w:sz w:val="18"/>
          <w:szCs w:val="18"/>
          <w:color w:val="auto"/>
        </w:rPr>
      </w:pPr>
    </w:p>
    <w:p>
      <w:pPr>
        <w:ind w:left="840" w:right="1719" w:hanging="832"/>
        <w:spacing w:after="0" w:line="236" w:lineRule="auto"/>
        <w:tabs>
          <w:tab w:leader="none" w:pos="8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7,267 shares of Common Stock issuable upon conversion of Series A Preferred Stock, 18,000 shares of Common Stock issuable upon exercise of options.</w:t>
      </w:r>
    </w:p>
    <w:p>
      <w:pPr>
        <w:spacing w:after="0" w:line="206" w:lineRule="exact"/>
        <w:rPr>
          <w:rFonts w:ascii="Courier New" w:cs="Courier New" w:eastAsia="Courier New" w:hAnsi="Courier New"/>
          <w:sz w:val="18"/>
          <w:szCs w:val="18"/>
          <w:color w:val="auto"/>
        </w:rPr>
      </w:pPr>
    </w:p>
    <w:p>
      <w:pPr>
        <w:jc w:val="both"/>
        <w:ind w:left="840" w:right="1719" w:hanging="832"/>
        <w:spacing w:after="0" w:line="236" w:lineRule="auto"/>
        <w:tabs>
          <w:tab w:leader="none" w:pos="8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123,308 shares of Common Stock issuable upon conversion of Series A Preferred Stock, 18,000 shares of Common stock issuable upon exercise of options, 1,000,000 shares of Common Stock issuable upon</w:t>
      </w:r>
    </w:p>
    <w:p>
      <w:pPr>
        <w:sectPr>
          <w:pgSz w:w="11900" w:h="16877" w:orient="portrait"/>
          <w:cols w:equalWidth="0" w:num="1">
            <w:col w:w="10139"/>
          </w:cols>
          <w:pgMar w:left="320" w:top="513" w:right="1440" w:bottom="0" w:gutter="0" w:footer="0" w:header="0"/>
        </w:sectPr>
      </w:pPr>
    </w:p>
    <w:p>
      <w:pPr>
        <w:spacing w:after="0" w:line="5" w:lineRule="exact"/>
        <w:rPr>
          <w:sz w:val="20"/>
          <w:szCs w:val="20"/>
          <w:color w:val="auto"/>
        </w:rPr>
      </w:pPr>
    </w:p>
    <w:p>
      <w:pPr>
        <w:ind w:left="840" w:right="1719"/>
        <w:spacing w:after="0" w:line="236" w:lineRule="auto"/>
        <w:rPr>
          <w:sz w:val="20"/>
          <w:szCs w:val="20"/>
          <w:color w:val="auto"/>
        </w:rPr>
      </w:pPr>
      <w:r>
        <w:rPr>
          <w:rFonts w:ascii="Courier New" w:cs="Courier New" w:eastAsia="Courier New" w:hAnsi="Courier New"/>
          <w:sz w:val="18"/>
          <w:szCs w:val="18"/>
          <w:color w:val="auto"/>
        </w:rPr>
        <w:t>exercise of warrants and 20,000,000 shares of Common Stock issuable on conversion of Series B Preferred Stock. Of this total, an aggregate of 171,408 shares are owned of record by Mr. Hanson, and 21,893,042 shares are owned of record by TPR.</w:t>
      </w:r>
    </w:p>
    <w:p>
      <w:pPr>
        <w:sectPr>
          <w:pgSz w:w="11900" w:h="16877" w:orient="portrait"/>
          <w:cols w:equalWidth="0" w:num="1">
            <w:col w:w="10139"/>
          </w:cols>
          <w:pgMar w:left="320" w:top="513" w:right="1440" w:bottom="0" w:gutter="0" w:footer="0" w:header="0"/>
          <w:type w:val="continuous"/>
        </w:sectPr>
      </w:pPr>
    </w:p>
    <w:p>
      <w:pPr>
        <w:spacing w:after="0" w:line="208" w:lineRule="exact"/>
        <w:rPr>
          <w:sz w:val="20"/>
          <w:szCs w:val="20"/>
          <w:color w:val="auto"/>
        </w:rPr>
      </w:pPr>
    </w:p>
    <w:p>
      <w:pPr>
        <w:ind w:left="840" w:right="1719" w:hanging="832"/>
        <w:spacing w:after="0" w:line="278" w:lineRule="auto"/>
        <w:tabs>
          <w:tab w:leader="none" w:pos="8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4,543 shares of Common Stock issuable upon conversion of Series A Preferred Stock, and 21,000 shares of Common Stock issuable upon exercise of options pursuant to the Company's 1992 Stock Option Plan.</w:t>
      </w:r>
    </w:p>
    <w:p>
      <w:pPr>
        <w:spacing w:after="0" w:line="178" w:lineRule="exact"/>
        <w:rPr>
          <w:rFonts w:ascii="Courier New" w:cs="Courier New" w:eastAsia="Courier New" w:hAnsi="Courier New"/>
          <w:sz w:val="16"/>
          <w:szCs w:val="16"/>
          <w:color w:val="auto"/>
        </w:rPr>
      </w:pPr>
    </w:p>
    <w:p>
      <w:pPr>
        <w:ind w:left="840" w:hanging="832"/>
        <w:spacing w:after="0"/>
        <w:tabs>
          <w:tab w:leader="none" w:pos="8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8,736 shares of Common Stock issuable upon exercise of options</w:t>
      </w:r>
    </w:p>
    <w:p>
      <w:pPr>
        <w:spacing w:after="0" w:line="15" w:lineRule="exact"/>
        <w:rPr>
          <w:sz w:val="20"/>
          <w:szCs w:val="20"/>
          <w:color w:val="auto"/>
        </w:rPr>
      </w:pPr>
    </w:p>
    <w:p>
      <w:pPr>
        <w:ind w:left="840"/>
        <w:spacing w:after="0"/>
        <w:tabs>
          <w:tab w:leader="none" w:pos="1880" w:val="left"/>
          <w:tab w:leader="none" w:pos="2300" w:val="left"/>
          <w:tab w:leader="none" w:pos="2820" w:val="left"/>
          <w:tab w:leader="none" w:pos="3980" w:val="left"/>
          <w:tab w:leader="none" w:pos="4620" w:val="left"/>
          <w:tab w:leader="none" w:pos="5340" w:val="left"/>
          <w:tab w:leader="none" w:pos="6180" w:val="left"/>
        </w:tabs>
        <w:rPr>
          <w:sz w:val="20"/>
          <w:szCs w:val="20"/>
          <w:color w:val="auto"/>
        </w:rPr>
      </w:pPr>
      <w:r>
        <w:rPr>
          <w:rFonts w:ascii="Courier New" w:cs="Courier New" w:eastAsia="Courier New" w:hAnsi="Courier New"/>
          <w:sz w:val="18"/>
          <w:szCs w:val="18"/>
          <w:color w:val="auto"/>
        </w:rPr>
        <w:t>pursuant</w:t>
        <w:tab/>
        <w:t>to</w:t>
        <w:tab/>
        <w:t>the</w:t>
        <w:tab/>
        <w:t>Company's</w:t>
        <w:tab/>
        <w:t>1992</w:t>
        <w:tab/>
        <w:t>Stock</w:t>
        <w:tab/>
        <w:t>Option</w:t>
        <w:tab/>
        <w:t>Plan.</w:t>
      </w:r>
    </w:p>
    <w:p>
      <w:pPr>
        <w:spacing w:after="0" w:line="206" w:lineRule="exact"/>
        <w:rPr>
          <w:sz w:val="20"/>
          <w:szCs w:val="20"/>
          <w:color w:val="auto"/>
        </w:rPr>
      </w:pPr>
    </w:p>
    <w:p>
      <w:pPr>
        <w:ind w:left="840" w:right="1719" w:hanging="832"/>
        <w:spacing w:after="0" w:line="236" w:lineRule="auto"/>
        <w:tabs>
          <w:tab w:leader="none" w:pos="8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39,967 shares of Common Stock issuable upon conversion of Series A Preferred Stock, 20,000,000 shares of Common Stock issuable upon conversion of Series B Preferred Stock and 1,000,000 shares of Common Stock issuable upon exercise of warrants.</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460" w:val="left"/>
          <w:tab w:leader="none" w:pos="2400" w:val="left"/>
          <w:tab w:leader="none" w:pos="3980" w:val="left"/>
          <w:tab w:leader="none" w:pos="4500" w:val="left"/>
          <w:tab w:leader="none" w:pos="5460" w:val="left"/>
        </w:tabs>
        <w:rPr>
          <w:sz w:val="20"/>
          <w:szCs w:val="20"/>
          <w:color w:val="auto"/>
        </w:rPr>
      </w:pPr>
      <w:r>
        <w:rPr>
          <w:rFonts w:ascii="Courier New" w:cs="Courier New" w:eastAsia="Courier New" w:hAnsi="Courier New"/>
          <w:sz w:val="18"/>
          <w:szCs w:val="18"/>
          <w:color w:val="auto"/>
        </w:rPr>
        <w:t>ITEM</w:t>
        <w:tab/>
        <w:t>12.</w:t>
      </w:r>
      <w:r>
        <w:rPr>
          <w:sz w:val="20"/>
          <w:szCs w:val="20"/>
          <w:color w:val="auto"/>
        </w:rPr>
        <w:tab/>
      </w:r>
      <w:r>
        <w:rPr>
          <w:rFonts w:ascii="Courier New" w:cs="Courier New" w:eastAsia="Courier New" w:hAnsi="Courier New"/>
          <w:sz w:val="18"/>
          <w:szCs w:val="18"/>
          <w:color w:val="auto"/>
        </w:rPr>
        <w:t>CERTAIN</w:t>
        <w:tab/>
        <w:t>RELATIONSHIPS</w:t>
        <w:tab/>
        <w:t>AND</w:t>
        <w:tab/>
        <w:t>RELATED</w:t>
      </w:r>
      <w:r>
        <w:rPr>
          <w:sz w:val="20"/>
          <w:szCs w:val="20"/>
          <w:color w:val="auto"/>
        </w:rPr>
        <w:tab/>
      </w:r>
      <w:r>
        <w:rPr>
          <w:rFonts w:ascii="Courier New" w:cs="Courier New" w:eastAsia="Courier New" w:hAnsi="Courier New"/>
          <w:sz w:val="16"/>
          <w:szCs w:val="16"/>
          <w:color w:val="auto"/>
        </w:rPr>
        <w:t>TRANSACTIONS</w:t>
      </w:r>
    </w:p>
    <w:p>
      <w:pPr>
        <w:spacing w:after="0" w:line="200" w:lineRule="exact"/>
        <w:rPr>
          <w:sz w:val="20"/>
          <w:szCs w:val="20"/>
          <w:color w:val="auto"/>
        </w:rPr>
      </w:pPr>
    </w:p>
    <w:p>
      <w:pPr>
        <w:spacing w:after="0"/>
        <w:tabs>
          <w:tab w:leader="none" w:pos="520" w:val="left"/>
          <w:tab w:leader="none" w:pos="1880" w:val="left"/>
        </w:tabs>
        <w:rPr>
          <w:sz w:val="20"/>
          <w:szCs w:val="20"/>
          <w:color w:val="auto"/>
        </w:rPr>
      </w:pPr>
      <w:r>
        <w:rPr>
          <w:rFonts w:ascii="Courier New" w:cs="Courier New" w:eastAsia="Courier New" w:hAnsi="Courier New"/>
          <w:sz w:val="18"/>
          <w:szCs w:val="18"/>
          <w:color w:val="auto"/>
        </w:rPr>
        <w:t>CSS</w:t>
        <w:tab/>
        <w:t>LTD./ROBERT</w:t>
      </w:r>
      <w:r>
        <w:rPr>
          <w:sz w:val="20"/>
          <w:szCs w:val="20"/>
          <w:color w:val="auto"/>
        </w:rPr>
        <w:tab/>
      </w:r>
      <w:r>
        <w:rPr>
          <w:rFonts w:ascii="Courier New" w:cs="Courier New" w:eastAsia="Courier New" w:hAnsi="Courier New"/>
          <w:sz w:val="16"/>
          <w:szCs w:val="16"/>
          <w:color w:val="auto"/>
        </w:rPr>
        <w:t>STAHL</w:t>
      </w:r>
    </w:p>
    <w:p>
      <w:pPr>
        <w:spacing w:after="0" w:line="206"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Consulting fees and commissions. During 1999, CSS Ltd. (a Company in which Mr. Stahl is a principal) was paid $7,281 in commissions and issued 28,146 shares of Common Stock for Mr. Stahl's services.</w:t>
      </w:r>
    </w:p>
    <w:p>
      <w:pPr>
        <w:spacing w:after="0" w:line="207"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Other transactions. The Company had a line of credit for $213,500 and accrued interest from a bank. In May 1998 Mr. Stahl purchased the promissory note for the former line of credit from the bank for $10,000. This note was</w:t>
      </w:r>
    </w:p>
    <w:p>
      <w:pPr>
        <w:sectPr>
          <w:pgSz w:w="11900" w:h="16877" w:orient="portrait"/>
          <w:cols w:equalWidth="0" w:num="1">
            <w:col w:w="10139"/>
          </w:cols>
          <w:pgMar w:left="320" w:top="513" w:right="1440" w:bottom="0" w:gutter="0" w:footer="0" w:header="0"/>
          <w:type w:val="continuous"/>
        </w:sectPr>
      </w:pPr>
    </w:p>
    <w:bookmarkStart w:id="9" w:name="page10"/>
    <w:bookmarkEnd w:id="9"/>
    <w:p>
      <w:pPr>
        <w:jc w:val="both"/>
        <w:ind w:right="1719"/>
        <w:spacing w:after="0" w:line="236" w:lineRule="auto"/>
        <w:rPr>
          <w:sz w:val="20"/>
          <w:szCs w:val="20"/>
          <w:color w:val="auto"/>
        </w:rPr>
      </w:pPr>
      <w:r>
        <w:rPr>
          <w:rFonts w:ascii="Courier New" w:cs="Courier New" w:eastAsia="Courier New" w:hAnsi="Courier New"/>
          <w:sz w:val="18"/>
          <w:szCs w:val="18"/>
          <w:color w:val="auto"/>
        </w:rPr>
        <w:t>subsequently purchased from Mr. Stahl by TPR Group, Inc. for $10,000. As discussed below, the debt of $213,500 and related accrued interest was subsequently exchanged in connection with the issuance of Series B Preferred stock.</w:t>
      </w:r>
    </w:p>
    <w:p>
      <w:pPr>
        <w:spacing w:after="0" w:line="200" w:lineRule="exact"/>
        <w:rPr>
          <w:sz w:val="20"/>
          <w:szCs w:val="20"/>
          <w:color w:val="auto"/>
        </w:rPr>
      </w:pPr>
    </w:p>
    <w:p>
      <w:pPr>
        <w:spacing w:after="0" w:line="204"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39"/>
          </w:cols>
          <w:pgMar w:left="320" w:top="142" w:right="1440" w:bottom="1440" w:gutter="0" w:footer="0" w:header="0"/>
        </w:sectPr>
      </w:pPr>
    </w:p>
    <w:bookmarkStart w:id="10" w:name="page11"/>
    <w:bookmarkEnd w:id="10"/>
    <w:p>
      <w:pPr>
        <w:spacing w:after="0"/>
        <w:tabs>
          <w:tab w:leader="none" w:pos="940" w:val="left"/>
          <w:tab w:leader="none" w:pos="1360" w:val="left"/>
        </w:tabs>
        <w:rPr>
          <w:sz w:val="20"/>
          <w:szCs w:val="20"/>
          <w:color w:val="auto"/>
        </w:rPr>
      </w:pPr>
      <w:r>
        <w:rPr>
          <w:rFonts w:ascii="Courier New" w:cs="Courier New" w:eastAsia="Courier New" w:hAnsi="Courier New"/>
          <w:sz w:val="18"/>
          <w:szCs w:val="18"/>
          <w:color w:val="auto"/>
        </w:rPr>
        <w:t>RUSSELL</w:t>
        <w:tab/>
        <w:t>A.</w:t>
      </w:r>
      <w:r>
        <w:rPr>
          <w:sz w:val="20"/>
          <w:szCs w:val="20"/>
          <w:color w:val="auto"/>
        </w:rPr>
        <w:tab/>
      </w:r>
      <w:r>
        <w:rPr>
          <w:rFonts w:ascii="Courier New" w:cs="Courier New" w:eastAsia="Courier New" w:hAnsi="Courier New"/>
          <w:sz w:val="16"/>
          <w:szCs w:val="16"/>
          <w:color w:val="auto"/>
        </w:rPr>
        <w:t>POHL</w:t>
      </w:r>
    </w:p>
    <w:p>
      <w:pPr>
        <w:spacing w:after="0" w:line="206"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Compensation. During fiscal 1999, Mr. Pohl was paid $938 in commissions and was issued 3,480 shares of Common Stock for unpaid commissions and 900 shares for previously unpaid Director's fees.</w:t>
      </w:r>
    </w:p>
    <w:p>
      <w:pPr>
        <w:spacing w:after="0" w:line="201" w:lineRule="exact"/>
        <w:rPr>
          <w:sz w:val="20"/>
          <w:szCs w:val="20"/>
          <w:color w:val="auto"/>
        </w:rPr>
      </w:pPr>
    </w:p>
    <w:p>
      <w:pPr>
        <w:spacing w:after="0"/>
        <w:tabs>
          <w:tab w:leader="none" w:pos="820" w:val="left"/>
          <w:tab w:leader="none" w:pos="1240" w:val="left"/>
        </w:tabs>
        <w:rPr>
          <w:sz w:val="20"/>
          <w:szCs w:val="20"/>
          <w:color w:val="auto"/>
        </w:rPr>
      </w:pPr>
      <w:r>
        <w:rPr>
          <w:rFonts w:ascii="Courier New" w:cs="Courier New" w:eastAsia="Courier New" w:hAnsi="Courier New"/>
          <w:sz w:val="18"/>
          <w:szCs w:val="18"/>
          <w:color w:val="auto"/>
        </w:rPr>
        <w:t>GERARD</w:t>
        <w:tab/>
        <w:t>L.</w:t>
      </w:r>
      <w:r>
        <w:rPr>
          <w:sz w:val="20"/>
          <w:szCs w:val="20"/>
          <w:color w:val="auto"/>
        </w:rPr>
        <w:tab/>
      </w:r>
      <w:r>
        <w:rPr>
          <w:rFonts w:ascii="Courier New" w:cs="Courier New" w:eastAsia="Courier New" w:hAnsi="Courier New"/>
          <w:sz w:val="16"/>
          <w:szCs w:val="16"/>
          <w:color w:val="auto"/>
        </w:rPr>
        <w:t>KAPPENMAN.</w:t>
      </w:r>
    </w:p>
    <w:p>
      <w:pPr>
        <w:spacing w:after="0" w:line="206"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Other transactions. During 1999, Mr. Kappenman agreed to exchange a note payable due him in the amount of $18,000 for 18,000 shares of Common Stock and $4,921 in debt for 4,921 shares of the Company's restricted Common Stock.</w:t>
      </w:r>
    </w:p>
    <w:p>
      <w:pPr>
        <w:sectPr>
          <w:pgSz w:w="11900" w:h="16838" w:orient="portrait"/>
          <w:cols w:equalWidth="0" w:num="1">
            <w:col w:w="10139"/>
          </w:cols>
          <w:pgMar w:left="320" w:top="513" w:right="1440" w:bottom="809"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TORREY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PINES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RESEARCH,</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INC./TPR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INC./WILLIAM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J.</w:t>
        <w:tab/>
        <w:t>HANSON.</w:t>
      </w:r>
    </w:p>
    <w:p>
      <w:pPr>
        <w:spacing w:after="0" w:line="216" w:lineRule="exact"/>
        <w:rPr>
          <w:sz w:val="20"/>
          <w:szCs w:val="20"/>
          <w:color w:val="auto"/>
        </w:rPr>
      </w:pPr>
    </w:p>
    <w:p>
      <w:pPr>
        <w:sectPr>
          <w:pgSz w:w="11900" w:h="16838" w:orient="portrait"/>
          <w:cols w:equalWidth="0" w:num="7">
            <w:col w:w="640" w:space="200"/>
            <w:col w:w="540" w:space="200"/>
            <w:col w:w="940" w:space="220"/>
            <w:col w:w="840" w:space="200"/>
            <w:col w:w="640" w:space="220"/>
            <w:col w:w="1260" w:space="200"/>
            <w:col w:w="4039"/>
          </w:cols>
          <w:pgMar w:left="320" w:top="513" w:right="1440" w:bottom="809" w:gutter="0" w:footer="0" w:header="0"/>
          <w:type w:val="continuous"/>
        </w:sectPr>
      </w:pPr>
    </w:p>
    <w:p>
      <w:pPr>
        <w:spacing w:after="0" w:line="6" w:lineRule="exact"/>
        <w:rPr>
          <w:sz w:val="20"/>
          <w:szCs w:val="20"/>
          <w:color w:val="auto"/>
        </w:rPr>
      </w:pPr>
    </w:p>
    <w:p>
      <w:pPr>
        <w:jc w:val="both"/>
        <w:ind w:right="1719" w:firstLine="525"/>
        <w:spacing w:after="0" w:line="267" w:lineRule="auto"/>
        <w:rPr>
          <w:sz w:val="20"/>
          <w:szCs w:val="20"/>
          <w:color w:val="auto"/>
        </w:rPr>
      </w:pPr>
      <w:r>
        <w:rPr>
          <w:rFonts w:ascii="Courier New" w:cs="Courier New" w:eastAsia="Courier New" w:hAnsi="Courier New"/>
          <w:sz w:val="16"/>
          <w:szCs w:val="16"/>
          <w:color w:val="auto"/>
        </w:rPr>
        <w:t>TPR acquired 296,298 shares of the Company's Common stock in exchange for $296,298 of unsecured debt. Under the terms of an agreement between the Company</w:t>
      </w:r>
    </w:p>
    <w:p>
      <w:pPr>
        <w:sectPr>
          <w:pgSz w:w="11900" w:h="16838" w:orient="portrait"/>
          <w:cols w:equalWidth="0" w:num="1">
            <w:col w:w="10139"/>
          </w:cols>
          <w:pgMar w:left="320" w:top="513" w:right="1440" w:bottom="809" w:gutter="0" w:footer="0" w:header="0"/>
          <w:type w:val="continuous"/>
        </w:sectPr>
      </w:pPr>
    </w:p>
    <w:p>
      <w:pPr>
        <w:spacing w:after="0" w:line="1" w:lineRule="exact"/>
        <w:rPr>
          <w:sz w:val="20"/>
          <w:szCs w:val="20"/>
          <w:color w:val="auto"/>
        </w:rPr>
      </w:pPr>
    </w:p>
    <w:p>
      <w:pPr>
        <w:jc w:val="both"/>
        <w:ind w:right="1719"/>
        <w:spacing w:after="0" w:line="267" w:lineRule="auto"/>
        <w:rPr>
          <w:sz w:val="20"/>
          <w:szCs w:val="20"/>
          <w:color w:val="auto"/>
        </w:rPr>
      </w:pPr>
      <w:r>
        <w:rPr>
          <w:rFonts w:ascii="Courier New" w:cs="Courier New" w:eastAsia="Courier New" w:hAnsi="Courier New"/>
          <w:sz w:val="16"/>
          <w:szCs w:val="16"/>
          <w:color w:val="auto"/>
        </w:rPr>
        <w:t>and TPR, TPR would pay in cash on behalf of the Company certain operating and other expenses of the Company up to $50,000 and also forgive $213,500 of debt that was secured by substantially all of the Company's assets and $75,940 of related accrued interest, in exchange for 2,000,000 shares of Series B preferred</w:t>
      </w:r>
    </w:p>
    <w:tbl>
      <w:tblPr>
        <w:tblLayout w:type="fixed"/>
        <w:tblInd w:w="0" w:type="dxa"/>
        <w:tblCellMar>
          <w:top w:w="0" w:type="dxa"/>
          <w:left w:w="0" w:type="dxa"/>
          <w:bottom w:w="0" w:type="dxa"/>
          <w:right w:w="0" w:type="dxa"/>
        </w:tblCellMar>
      </w:tblPr>
      <w:tr>
        <w:trPr>
          <w:trHeight w:val="199"/>
        </w:trPr>
        <w:tc>
          <w:tcPr>
            <w:tcW w:w="80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rPr>
              <w:t>stock.</w:t>
            </w:r>
          </w:p>
        </w:tc>
        <w:tc>
          <w:tcPr>
            <w:tcW w:w="360" w:type="dxa"/>
            <w:vAlign w:val="bottom"/>
          </w:tcPr>
          <w:p>
            <w:pPr>
              <w:ind w:left="40"/>
              <w:spacing w:after="0" w:line="199" w:lineRule="exact"/>
              <w:rPr>
                <w:sz w:val="20"/>
                <w:szCs w:val="20"/>
                <w:color w:val="auto"/>
              </w:rPr>
            </w:pPr>
            <w:r>
              <w:rPr>
                <w:rFonts w:ascii="Courier New" w:cs="Courier New" w:eastAsia="Courier New" w:hAnsi="Courier New"/>
                <w:sz w:val="18"/>
                <w:szCs w:val="18"/>
                <w:color w:val="auto"/>
              </w:rPr>
              <w:t>At</w:t>
            </w:r>
          </w:p>
        </w:tc>
        <w:tc>
          <w:tcPr>
            <w:tcW w:w="1260" w:type="dxa"/>
            <w:vAlign w:val="bottom"/>
            <w:gridSpan w:val="3"/>
          </w:tcPr>
          <w:p>
            <w:pPr>
              <w:ind w:left="100"/>
              <w:spacing w:after="0" w:line="199" w:lineRule="exact"/>
              <w:rPr>
                <w:sz w:val="20"/>
                <w:szCs w:val="20"/>
                <w:color w:val="auto"/>
              </w:rPr>
            </w:pPr>
            <w:r>
              <w:rPr>
                <w:rFonts w:ascii="Courier New" w:cs="Courier New" w:eastAsia="Courier New" w:hAnsi="Courier New"/>
                <w:sz w:val="18"/>
                <w:szCs w:val="18"/>
                <w:color w:val="auto"/>
              </w:rPr>
              <w:t>September</w:t>
            </w:r>
          </w:p>
        </w:tc>
        <w:tc>
          <w:tcPr>
            <w:tcW w:w="52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rPr>
              <w:t>30,</w:t>
            </w:r>
          </w:p>
        </w:tc>
        <w:tc>
          <w:tcPr>
            <w:tcW w:w="112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rPr>
              <w:t>1998,  the</w:t>
            </w:r>
          </w:p>
        </w:tc>
        <w:tc>
          <w:tcPr>
            <w:tcW w:w="4360" w:type="dxa"/>
            <w:vAlign w:val="bottom"/>
            <w:gridSpan w:val="3"/>
          </w:tcPr>
          <w:p>
            <w:pPr>
              <w:jc w:val="right"/>
              <w:spacing w:after="0" w:line="199" w:lineRule="exact"/>
              <w:rPr>
                <w:sz w:val="20"/>
                <w:szCs w:val="20"/>
                <w:color w:val="auto"/>
              </w:rPr>
            </w:pPr>
            <w:r>
              <w:rPr>
                <w:rFonts w:ascii="Courier New" w:cs="Courier New" w:eastAsia="Courier New" w:hAnsi="Courier New"/>
                <w:sz w:val="18"/>
                <w:szCs w:val="18"/>
                <w:color w:val="auto"/>
              </w:rPr>
              <w:t>Company also had a $4,000 loan from TPR.</w:t>
            </w:r>
          </w:p>
        </w:tc>
      </w:tr>
      <w:tr>
        <w:trPr>
          <w:trHeight w:val="202"/>
        </w:trPr>
        <w:tc>
          <w:tcPr>
            <w:tcW w:w="8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During</w:t>
            </w:r>
          </w:p>
        </w:tc>
        <w:tc>
          <w:tcPr>
            <w:tcW w:w="78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line="202" w:lineRule="exact"/>
              <w:rPr>
                <w:sz w:val="20"/>
                <w:szCs w:val="20"/>
                <w:color w:val="auto"/>
              </w:rPr>
            </w:pPr>
            <w:r>
              <w:rPr>
                <w:rFonts w:ascii="Courier New" w:cs="Courier New" w:eastAsia="Courier New" w:hAnsi="Courier New"/>
                <w:sz w:val="18"/>
                <w:szCs w:val="18"/>
                <w:color w:val="auto"/>
                <w:w w:val="92"/>
              </w:rPr>
              <w:t>the</w:t>
            </w:r>
          </w:p>
        </w:tc>
        <w:tc>
          <w:tcPr>
            <w:tcW w:w="1040" w:type="dxa"/>
            <w:vAlign w:val="bottom"/>
            <w:gridSpan w:val="3"/>
          </w:tcPr>
          <w:p>
            <w:pPr>
              <w:jc w:val="right"/>
              <w:ind w:right="12"/>
              <w:spacing w:after="0" w:line="202" w:lineRule="exact"/>
              <w:rPr>
                <w:sz w:val="20"/>
                <w:szCs w:val="20"/>
                <w:color w:val="auto"/>
              </w:rPr>
            </w:pPr>
            <w:r>
              <w:rPr>
                <w:rFonts w:ascii="Courier New" w:cs="Courier New" w:eastAsia="Courier New" w:hAnsi="Courier New"/>
                <w:sz w:val="18"/>
                <w:szCs w:val="18"/>
                <w:color w:val="auto"/>
              </w:rPr>
              <w:t>Company</w:t>
            </w:r>
          </w:p>
        </w:tc>
        <w:tc>
          <w:tcPr>
            <w:tcW w:w="112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rPr>
              <w:t>received</w:t>
            </w:r>
          </w:p>
        </w:tc>
        <w:tc>
          <w:tcPr>
            <w:tcW w:w="436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w w:val="98"/>
              </w:rPr>
              <w:t>an additional $35,324 from TPR and issued</w:t>
            </w:r>
          </w:p>
        </w:tc>
      </w:tr>
      <w:tr>
        <w:trPr>
          <w:trHeight w:val="202"/>
        </w:trPr>
        <w:tc>
          <w:tcPr>
            <w:tcW w:w="116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rPr>
              <w:t>2,000,000</w:t>
            </w:r>
          </w:p>
        </w:tc>
        <w:tc>
          <w:tcPr>
            <w:tcW w:w="7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shares</w:t>
            </w:r>
          </w:p>
        </w:tc>
        <w:tc>
          <w:tcPr>
            <w:tcW w:w="6520" w:type="dxa"/>
            <w:vAlign w:val="bottom"/>
            <w:gridSpan w:val="8"/>
          </w:tcPr>
          <w:p>
            <w:pPr>
              <w:jc w:val="right"/>
              <w:spacing w:after="0" w:line="202" w:lineRule="exact"/>
              <w:rPr>
                <w:sz w:val="20"/>
                <w:szCs w:val="20"/>
                <w:color w:val="auto"/>
              </w:rPr>
            </w:pPr>
            <w:r>
              <w:rPr>
                <w:rFonts w:ascii="Courier New" w:cs="Courier New" w:eastAsia="Courier New" w:hAnsi="Courier New"/>
                <w:sz w:val="18"/>
                <w:szCs w:val="18"/>
                <w:color w:val="auto"/>
                <w:w w:val="98"/>
              </w:rPr>
              <w:t>of Series B preferred stock (convertible to 20,000,000 shares</w:t>
            </w:r>
          </w:p>
        </w:tc>
      </w:tr>
      <w:tr>
        <w:trPr>
          <w:trHeight w:val="202"/>
        </w:trPr>
        <w:tc>
          <w:tcPr>
            <w:tcW w:w="3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78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rPr>
              <w:t>common</w:t>
            </w:r>
          </w:p>
        </w:tc>
        <w:tc>
          <w:tcPr>
            <w:tcW w:w="74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5"/>
              </w:rPr>
              <w:t>stock)</w:t>
            </w:r>
          </w:p>
        </w:tc>
        <w:tc>
          <w:tcPr>
            <w:tcW w:w="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to</w:t>
            </w:r>
          </w:p>
        </w:tc>
        <w:tc>
          <w:tcPr>
            <w:tcW w:w="5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TPR</w:t>
            </w:r>
          </w:p>
        </w:tc>
        <w:tc>
          <w:tcPr>
            <w:tcW w:w="32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w w:val="83"/>
              </w:rPr>
              <w:t>in</w:t>
            </w:r>
          </w:p>
        </w:tc>
        <w:tc>
          <w:tcPr>
            <w:tcW w:w="180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settlement  of</w:t>
            </w:r>
          </w:p>
        </w:tc>
        <w:tc>
          <w:tcPr>
            <w:tcW w:w="46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the</w:t>
            </w:r>
          </w:p>
        </w:tc>
        <w:tc>
          <w:tcPr>
            <w:tcW w:w="2900" w:type="dxa"/>
            <w:vAlign w:val="bottom"/>
          </w:tcPr>
          <w:p>
            <w:pPr>
              <w:jc w:val="right"/>
              <w:ind w:right="552"/>
              <w:spacing w:after="0" w:line="202" w:lineRule="exact"/>
              <w:rPr>
                <w:sz w:val="20"/>
                <w:szCs w:val="20"/>
                <w:color w:val="auto"/>
              </w:rPr>
            </w:pPr>
            <w:r>
              <w:rPr>
                <w:rFonts w:ascii="Courier New" w:cs="Courier New" w:eastAsia="Courier New" w:hAnsi="Courier New"/>
                <w:sz w:val="18"/>
                <w:szCs w:val="18"/>
                <w:color w:val="auto"/>
              </w:rPr>
              <w:t>above  amounts  due.</w:t>
            </w:r>
          </w:p>
        </w:tc>
      </w:tr>
      <w:tr>
        <w:trPr>
          <w:trHeight w:val="404"/>
        </w:trPr>
        <w:tc>
          <w:tcPr>
            <w:tcW w:w="38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At</w:t>
            </w:r>
          </w:p>
        </w:tc>
        <w:tc>
          <w:tcPr>
            <w:tcW w:w="162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September 30,</w:t>
            </w:r>
          </w:p>
        </w:tc>
        <w:tc>
          <w:tcPr>
            <w:tcW w:w="520" w:type="dxa"/>
            <w:vAlign w:val="bottom"/>
            <w:gridSpan w:val="2"/>
          </w:tcPr>
          <w:p>
            <w:pPr>
              <w:spacing w:after="0"/>
              <w:rPr>
                <w:sz w:val="20"/>
                <w:szCs w:val="20"/>
                <w:color w:val="auto"/>
              </w:rPr>
            </w:pPr>
            <w:r>
              <w:rPr>
                <w:rFonts w:ascii="Courier New" w:cs="Courier New" w:eastAsia="Courier New" w:hAnsi="Courier New"/>
                <w:sz w:val="18"/>
                <w:szCs w:val="18"/>
                <w:color w:val="auto"/>
              </w:rPr>
              <w:t>1999</w:t>
            </w:r>
          </w:p>
        </w:tc>
        <w:tc>
          <w:tcPr>
            <w:tcW w:w="54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and 1998, the Company had a $500,000 note payable to</w:t>
            </w:r>
          </w:p>
        </w:tc>
      </w:tr>
      <w:tr>
        <w:trPr>
          <w:trHeight w:val="202"/>
        </w:trPr>
        <w:tc>
          <w:tcPr>
            <w:tcW w:w="380" w:type="dxa"/>
            <w:vAlign w:val="bottom"/>
          </w:tcPr>
          <w:p>
            <w:pPr>
              <w:spacing w:after="0" w:line="202" w:lineRule="exact"/>
              <w:rPr>
                <w:sz w:val="20"/>
                <w:szCs w:val="20"/>
                <w:color w:val="auto"/>
              </w:rPr>
            </w:pPr>
            <w:r>
              <w:rPr>
                <w:rFonts w:ascii="Courier New" w:cs="Courier New" w:eastAsia="Courier New" w:hAnsi="Courier New"/>
                <w:sz w:val="18"/>
                <w:szCs w:val="18"/>
                <w:color w:val="auto"/>
              </w:rPr>
              <w:t>TPR</w:t>
            </w:r>
          </w:p>
        </w:tc>
        <w:tc>
          <w:tcPr>
            <w:tcW w:w="78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that</w:t>
            </w:r>
          </w:p>
        </w:tc>
        <w:tc>
          <w:tcPr>
            <w:tcW w:w="1780" w:type="dxa"/>
            <w:vAlign w:val="bottom"/>
            <w:gridSpan w:val="5"/>
          </w:tcPr>
          <w:p>
            <w:pPr>
              <w:spacing w:after="0" w:line="202" w:lineRule="exact"/>
              <w:rPr>
                <w:sz w:val="20"/>
                <w:szCs w:val="20"/>
                <w:color w:val="auto"/>
              </w:rPr>
            </w:pPr>
            <w:r>
              <w:rPr>
                <w:rFonts w:ascii="Courier New" w:cs="Courier New" w:eastAsia="Courier New" w:hAnsi="Courier New"/>
                <w:sz w:val="18"/>
                <w:szCs w:val="18"/>
                <w:color w:val="auto"/>
                <w:w w:val="95"/>
              </w:rPr>
              <w:t>is due on demand.</w:t>
            </w:r>
          </w:p>
        </w:tc>
        <w:tc>
          <w:tcPr>
            <w:tcW w:w="5480" w:type="dxa"/>
            <w:vAlign w:val="bottom"/>
            <w:gridSpan w:val="5"/>
          </w:tcPr>
          <w:p>
            <w:pPr>
              <w:jc w:val="right"/>
              <w:spacing w:after="0" w:line="202" w:lineRule="exact"/>
              <w:rPr>
                <w:sz w:val="20"/>
                <w:szCs w:val="20"/>
                <w:color w:val="auto"/>
              </w:rPr>
            </w:pPr>
            <w:r>
              <w:rPr>
                <w:rFonts w:ascii="Courier New" w:cs="Courier New" w:eastAsia="Courier New" w:hAnsi="Courier New"/>
                <w:sz w:val="18"/>
                <w:szCs w:val="18"/>
                <w:color w:val="auto"/>
              </w:rPr>
              <w:t>This note was originally to a bank and was assumed</w:t>
            </w:r>
          </w:p>
        </w:tc>
      </w:tr>
      <w:tr>
        <w:trPr>
          <w:trHeight w:val="202"/>
        </w:trPr>
        <w:tc>
          <w:tcPr>
            <w:tcW w:w="380" w:type="dxa"/>
            <w:vAlign w:val="bottom"/>
          </w:tcPr>
          <w:p>
            <w:pPr>
              <w:spacing w:after="0" w:line="202" w:lineRule="exact"/>
              <w:rPr>
                <w:sz w:val="20"/>
                <w:szCs w:val="20"/>
                <w:color w:val="auto"/>
              </w:rPr>
            </w:pPr>
            <w:r>
              <w:rPr>
                <w:rFonts w:ascii="Courier New" w:cs="Courier New" w:eastAsia="Courier New" w:hAnsi="Courier New"/>
                <w:sz w:val="18"/>
                <w:szCs w:val="18"/>
                <w:color w:val="auto"/>
              </w:rPr>
              <w:t>by</w:t>
            </w:r>
          </w:p>
        </w:tc>
        <w:tc>
          <w:tcPr>
            <w:tcW w:w="42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TPR</w:t>
            </w:r>
          </w:p>
        </w:tc>
        <w:tc>
          <w:tcPr>
            <w:tcW w:w="36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w w:val="83"/>
              </w:rPr>
              <w:t>on</w:t>
            </w:r>
          </w:p>
        </w:tc>
        <w:tc>
          <w:tcPr>
            <w:tcW w:w="7260" w:type="dxa"/>
            <w:vAlign w:val="bottom"/>
            <w:gridSpan w:val="10"/>
          </w:tcPr>
          <w:p>
            <w:pPr>
              <w:ind w:left="100"/>
              <w:spacing w:after="0" w:line="202" w:lineRule="exact"/>
              <w:rPr>
                <w:sz w:val="20"/>
                <w:szCs w:val="20"/>
                <w:color w:val="auto"/>
              </w:rPr>
            </w:pPr>
            <w:r>
              <w:rPr>
                <w:rFonts w:ascii="Courier New" w:cs="Courier New" w:eastAsia="Courier New" w:hAnsi="Courier New"/>
                <w:sz w:val="18"/>
                <w:szCs w:val="18"/>
                <w:color w:val="auto"/>
                <w:w w:val="97"/>
              </w:rPr>
              <w:t>behalf of the Company, as a result of its guarantee of the loan.  In</w:t>
            </w:r>
          </w:p>
        </w:tc>
      </w:tr>
      <w:tr>
        <w:trPr>
          <w:trHeight w:val="202"/>
        </w:trPr>
        <w:tc>
          <w:tcPr>
            <w:tcW w:w="116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rPr>
              <w:t>connection</w:t>
            </w:r>
          </w:p>
        </w:tc>
        <w:tc>
          <w:tcPr>
            <w:tcW w:w="74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w w:val="92"/>
              </w:rPr>
              <w:t>the</w:t>
            </w:r>
          </w:p>
        </w:tc>
        <w:tc>
          <w:tcPr>
            <w:tcW w:w="6000" w:type="dxa"/>
            <w:vAlign w:val="bottom"/>
            <w:gridSpan w:val="7"/>
          </w:tcPr>
          <w:p>
            <w:pPr>
              <w:jc w:val="right"/>
              <w:spacing w:after="0" w:line="202" w:lineRule="exact"/>
              <w:rPr>
                <w:sz w:val="20"/>
                <w:szCs w:val="20"/>
                <w:color w:val="auto"/>
              </w:rPr>
            </w:pPr>
            <w:r>
              <w:rPr>
                <w:rFonts w:ascii="Courier New" w:cs="Courier New" w:eastAsia="Courier New" w:hAnsi="Courier New"/>
                <w:sz w:val="18"/>
                <w:szCs w:val="18"/>
                <w:color w:val="auto"/>
                <w:w w:val="97"/>
              </w:rPr>
              <w:t>assumption of the loan, TPR received 1,000,000 restricted</w:t>
            </w:r>
          </w:p>
        </w:tc>
      </w:tr>
      <w:tr>
        <w:trPr>
          <w:trHeight w:val="202"/>
        </w:trPr>
        <w:tc>
          <w:tcPr>
            <w:tcW w:w="8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common</w:t>
            </w:r>
          </w:p>
        </w:tc>
        <w:tc>
          <w:tcPr>
            <w:tcW w:w="78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rPr>
              <w:t>stock</w:t>
            </w:r>
          </w:p>
        </w:tc>
        <w:tc>
          <w:tcPr>
            <w:tcW w:w="8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4"/>
              </w:rPr>
              <w:t>warrants</w:t>
            </w:r>
          </w:p>
        </w:tc>
        <w:tc>
          <w:tcPr>
            <w:tcW w:w="220" w:type="dxa"/>
            <w:vAlign w:val="bottom"/>
          </w:tcPr>
          <w:p>
            <w:pPr>
              <w:spacing w:after="0"/>
              <w:rPr>
                <w:sz w:val="17"/>
                <w:szCs w:val="17"/>
                <w:color w:val="auto"/>
              </w:rPr>
            </w:pPr>
          </w:p>
        </w:tc>
        <w:tc>
          <w:tcPr>
            <w:tcW w:w="6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that</w:t>
            </w:r>
          </w:p>
        </w:tc>
        <w:tc>
          <w:tcPr>
            <w:tcW w:w="5160" w:type="dxa"/>
            <w:vAlign w:val="bottom"/>
            <w:gridSpan w:val="4"/>
          </w:tcPr>
          <w:p>
            <w:pPr>
              <w:jc w:val="right"/>
              <w:spacing w:after="0" w:line="202" w:lineRule="exact"/>
              <w:rPr>
                <w:sz w:val="20"/>
                <w:szCs w:val="20"/>
                <w:color w:val="auto"/>
              </w:rPr>
            </w:pPr>
            <w:r>
              <w:rPr>
                <w:rFonts w:ascii="Courier New" w:cs="Courier New" w:eastAsia="Courier New" w:hAnsi="Courier New"/>
                <w:sz w:val="18"/>
                <w:szCs w:val="18"/>
                <w:color w:val="auto"/>
                <w:w w:val="97"/>
              </w:rPr>
              <w:t>each represent the right to purchase one share of</w:t>
            </w:r>
          </w:p>
        </w:tc>
      </w:tr>
      <w:tr>
        <w:trPr>
          <w:trHeight w:val="202"/>
        </w:trPr>
        <w:tc>
          <w:tcPr>
            <w:tcW w:w="8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common</w:t>
            </w:r>
          </w:p>
        </w:tc>
        <w:tc>
          <w:tcPr>
            <w:tcW w:w="78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rPr>
              <w:t>stock</w:t>
            </w:r>
          </w:p>
        </w:tc>
        <w:tc>
          <w:tcPr>
            <w:tcW w:w="320" w:type="dxa"/>
            <w:vAlign w:val="bottom"/>
          </w:tcPr>
          <w:p>
            <w:pPr>
              <w:spacing w:after="0" w:line="202" w:lineRule="exact"/>
              <w:rPr>
                <w:sz w:val="20"/>
                <w:szCs w:val="20"/>
                <w:color w:val="auto"/>
              </w:rPr>
            </w:pPr>
            <w:r>
              <w:rPr>
                <w:rFonts w:ascii="Courier New" w:cs="Courier New" w:eastAsia="Courier New" w:hAnsi="Courier New"/>
                <w:sz w:val="18"/>
                <w:szCs w:val="18"/>
                <w:color w:val="auto"/>
              </w:rPr>
              <w:t>at</w:t>
            </w:r>
          </w:p>
        </w:tc>
        <w:tc>
          <w:tcPr>
            <w:tcW w:w="74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$.50.</w:t>
            </w:r>
          </w:p>
        </w:tc>
        <w:tc>
          <w:tcPr>
            <w:tcW w:w="5780" w:type="dxa"/>
            <w:vAlign w:val="bottom"/>
            <w:gridSpan w:val="6"/>
          </w:tcPr>
          <w:p>
            <w:pPr>
              <w:jc w:val="right"/>
              <w:spacing w:after="0" w:line="202" w:lineRule="exact"/>
              <w:rPr>
                <w:sz w:val="20"/>
                <w:szCs w:val="20"/>
                <w:color w:val="auto"/>
              </w:rPr>
            </w:pPr>
            <w:r>
              <w:rPr>
                <w:rFonts w:ascii="Courier New" w:cs="Courier New" w:eastAsia="Courier New" w:hAnsi="Courier New"/>
                <w:sz w:val="18"/>
                <w:szCs w:val="18"/>
                <w:color w:val="auto"/>
                <w:w w:val="98"/>
              </w:rPr>
              <w:t>The warrants expire one year following satisfaction of</w:t>
            </w:r>
          </w:p>
        </w:tc>
      </w:tr>
      <w:tr>
        <w:trPr>
          <w:trHeight w:val="202"/>
        </w:trPr>
        <w:tc>
          <w:tcPr>
            <w:tcW w:w="380" w:type="dxa"/>
            <w:vAlign w:val="bottom"/>
          </w:tcPr>
          <w:p>
            <w:pPr>
              <w:spacing w:after="0" w:line="202" w:lineRule="exact"/>
              <w:rPr>
                <w:sz w:val="20"/>
                <w:szCs w:val="20"/>
                <w:color w:val="auto"/>
              </w:rPr>
            </w:pPr>
            <w:r>
              <w:rPr>
                <w:rFonts w:ascii="Courier New" w:cs="Courier New" w:eastAsia="Courier New" w:hAnsi="Courier New"/>
                <w:sz w:val="18"/>
                <w:szCs w:val="18"/>
                <w:color w:val="auto"/>
              </w:rPr>
              <w:t>the</w:t>
            </w:r>
          </w:p>
        </w:tc>
        <w:tc>
          <w:tcPr>
            <w:tcW w:w="78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note.</w:t>
            </w:r>
          </w:p>
        </w:tc>
        <w:tc>
          <w:tcPr>
            <w:tcW w:w="42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w w:val="92"/>
              </w:rPr>
              <w:t>The</w:t>
            </w:r>
          </w:p>
        </w:tc>
        <w:tc>
          <w:tcPr>
            <w:tcW w:w="840" w:type="dxa"/>
            <w:vAlign w:val="bottom"/>
            <w:gridSpan w:val="2"/>
          </w:tcPr>
          <w:p>
            <w:pPr>
              <w:jc w:val="right"/>
              <w:ind w:right="112"/>
              <w:spacing w:after="0" w:line="202" w:lineRule="exact"/>
              <w:rPr>
                <w:sz w:val="20"/>
                <w:szCs w:val="20"/>
                <w:color w:val="auto"/>
              </w:rPr>
            </w:pPr>
            <w:r>
              <w:rPr>
                <w:rFonts w:ascii="Courier New" w:cs="Courier New" w:eastAsia="Courier New" w:hAnsi="Courier New"/>
                <w:sz w:val="18"/>
                <w:szCs w:val="18"/>
                <w:color w:val="auto"/>
              </w:rPr>
              <w:t>note</w:t>
            </w:r>
          </w:p>
        </w:tc>
        <w:tc>
          <w:tcPr>
            <w:tcW w:w="220" w:type="dxa"/>
            <w:vAlign w:val="bottom"/>
          </w:tcPr>
          <w:p>
            <w:pPr>
              <w:spacing w:after="0" w:line="202" w:lineRule="exact"/>
              <w:rPr>
                <w:sz w:val="20"/>
                <w:szCs w:val="20"/>
                <w:color w:val="auto"/>
              </w:rPr>
            </w:pPr>
            <w:r>
              <w:rPr>
                <w:rFonts w:ascii="Courier New" w:cs="Courier New" w:eastAsia="Courier New" w:hAnsi="Courier New"/>
                <w:sz w:val="18"/>
                <w:szCs w:val="18"/>
                <w:color w:val="auto"/>
                <w:w w:val="92"/>
              </w:rPr>
              <w:t>to</w:t>
            </w:r>
          </w:p>
        </w:tc>
        <w:tc>
          <w:tcPr>
            <w:tcW w:w="62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TPR</w:t>
            </w:r>
          </w:p>
        </w:tc>
        <w:tc>
          <w:tcPr>
            <w:tcW w:w="80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bears</w:t>
            </w: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9"/>
              </w:rPr>
              <w:t>interest</w:t>
            </w:r>
          </w:p>
        </w:tc>
        <w:tc>
          <w:tcPr>
            <w:tcW w:w="46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at</w:t>
            </w:r>
          </w:p>
        </w:tc>
        <w:tc>
          <w:tcPr>
            <w:tcW w:w="2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8"/>
              </w:rPr>
              <w:t>a variable rate of interest</w:t>
            </w:r>
          </w:p>
        </w:tc>
      </w:tr>
      <w:tr>
        <w:trPr>
          <w:trHeight w:val="202"/>
        </w:trPr>
        <w:tc>
          <w:tcPr>
            <w:tcW w:w="116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w w:val="95"/>
              </w:rPr>
              <w:t>(compounded</w:t>
            </w:r>
          </w:p>
        </w:tc>
        <w:tc>
          <w:tcPr>
            <w:tcW w:w="4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w w:val="83"/>
              </w:rPr>
              <w:t>at</w:t>
            </w:r>
          </w:p>
        </w:tc>
        <w:tc>
          <w:tcPr>
            <w:tcW w:w="84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13.6%</w:t>
            </w:r>
          </w:p>
        </w:tc>
        <w:tc>
          <w:tcPr>
            <w:tcW w:w="6000" w:type="dxa"/>
            <w:vAlign w:val="bottom"/>
            <w:gridSpan w:val="7"/>
          </w:tcPr>
          <w:p>
            <w:pPr>
              <w:jc w:val="right"/>
              <w:spacing w:after="0" w:line="202" w:lineRule="exact"/>
              <w:rPr>
                <w:sz w:val="20"/>
                <w:szCs w:val="20"/>
                <w:color w:val="auto"/>
              </w:rPr>
            </w:pPr>
            <w:r>
              <w:rPr>
                <w:rFonts w:ascii="Courier New" w:cs="Courier New" w:eastAsia="Courier New" w:hAnsi="Courier New"/>
                <w:sz w:val="18"/>
                <w:szCs w:val="18"/>
                <w:color w:val="auto"/>
                <w:w w:val="97"/>
              </w:rPr>
              <w:t>as of September 30, 1999) and is secured by substantially</w:t>
            </w:r>
          </w:p>
        </w:tc>
      </w:tr>
    </w:tbl>
    <w:p>
      <w:pPr>
        <w:spacing w:after="0" w:line="4"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all assets of the Company. Accrued interest of $297,118 is due to TPR under the demand note as of September 30, 1999. Under terms of an agreement, TPR would exchange the $500,000 of debt plus accrued interest owing from the Company for 600,000 shares of a new series of preferred stock (not yet authorized by the Board of Directors) if certain conditions in the agreement are satisfied. The proposed terms of the Series C preferred stock are that it will have an initial liquidation preference of $1.00 per share and will be convertible at the option of the holder at the rate of 10 shares of the Company's common stock for each share of Series C preferred stock. The Series C preferred stock will be redeemable by the Company, in whole or in part, at a price of $1.00 per share upon request of the holder given at any time after expiration of one full year from the date the Series C stock is issued.</w:t>
      </w:r>
    </w:p>
    <w:p>
      <w:pPr>
        <w:spacing w:after="0" w:line="200" w:lineRule="exact"/>
        <w:rPr>
          <w:sz w:val="20"/>
          <w:szCs w:val="20"/>
          <w:color w:val="auto"/>
        </w:rPr>
      </w:pPr>
    </w:p>
    <w:p>
      <w:pPr>
        <w:spacing w:after="0" w:line="20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RECENT</w:t>
        <w:tab/>
        <w:t>TRANSACTIONS.</w:t>
      </w:r>
    </w:p>
    <w:p>
      <w:pPr>
        <w:spacing w:after="0" w:line="206"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All transactions between the Company and its executive officers, directors, or principal stockholders, or any of their affiliates, have been approved by a majority of the disinterested members of the Company's Board of Directors, and have been on terms that the Company believes to be no less favorable to the Company than those that could be obtained from an unaffiliated third party in arms-length transactions.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13.</w:t>
            </w:r>
          </w:p>
        </w:tc>
        <w:tc>
          <w:tcPr>
            <w:tcW w:w="190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EXHIBITS  AND</w:t>
            </w:r>
          </w:p>
        </w:tc>
        <w:tc>
          <w:tcPr>
            <w:tcW w:w="3780" w:type="dxa"/>
            <w:vAlign w:val="bottom"/>
            <w:gridSpan w:val="3"/>
          </w:tcPr>
          <w:p>
            <w:pPr>
              <w:spacing w:after="0"/>
              <w:rPr>
                <w:sz w:val="20"/>
                <w:szCs w:val="20"/>
                <w:color w:val="auto"/>
              </w:rPr>
            </w:pPr>
            <w:r>
              <w:rPr>
                <w:rFonts w:ascii="Courier New" w:cs="Courier New" w:eastAsia="Courier New" w:hAnsi="Courier New"/>
                <w:sz w:val="18"/>
                <w:szCs w:val="18"/>
                <w:color w:val="auto"/>
              </w:rPr>
              <w:t>REPORTS  ON  FORM  8-K.</w:t>
            </w:r>
          </w:p>
        </w:tc>
        <w:tc>
          <w:tcPr>
            <w:tcW w:w="1580" w:type="dxa"/>
            <w:vAlign w:val="bottom"/>
          </w:tcPr>
          <w:p>
            <w:pPr>
              <w:spacing w:after="0"/>
              <w:rPr>
                <w:sz w:val="17"/>
                <w:szCs w:val="17"/>
                <w:color w:val="auto"/>
              </w:rPr>
            </w:pPr>
          </w:p>
        </w:tc>
      </w:tr>
      <w:tr>
        <w:trPr>
          <w:trHeight w:val="404"/>
        </w:trPr>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(a)</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The</w:t>
            </w:r>
          </w:p>
        </w:tc>
        <w:tc>
          <w:tcPr>
            <w:tcW w:w="1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following</w:t>
            </w:r>
          </w:p>
        </w:tc>
        <w:tc>
          <w:tcPr>
            <w:tcW w:w="3780" w:type="dxa"/>
            <w:vAlign w:val="bottom"/>
            <w:gridSpan w:val="3"/>
          </w:tcPr>
          <w:p>
            <w:pPr>
              <w:spacing w:after="0"/>
              <w:rPr>
                <w:sz w:val="20"/>
                <w:szCs w:val="20"/>
                <w:color w:val="auto"/>
              </w:rPr>
            </w:pPr>
            <w:r>
              <w:rPr>
                <w:rFonts w:ascii="Courier New" w:cs="Courier New" w:eastAsia="Courier New" w:hAnsi="Courier New"/>
                <w:sz w:val="18"/>
                <w:szCs w:val="18"/>
                <w:color w:val="auto"/>
                <w:w w:val="99"/>
              </w:rPr>
              <w:t>documents  are  filed  as  part  of</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this  report:</w:t>
            </w:r>
          </w:p>
        </w:tc>
      </w:tr>
      <w:tr>
        <w:trPr>
          <w:trHeight w:val="404"/>
        </w:trPr>
        <w:tc>
          <w:tcPr>
            <w:tcW w:w="116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1.</w:t>
            </w:r>
          </w:p>
        </w:tc>
        <w:tc>
          <w:tcPr>
            <w:tcW w:w="1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Financial</w:t>
            </w:r>
          </w:p>
        </w:tc>
        <w:tc>
          <w:tcPr>
            <w:tcW w:w="12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Statements</w:t>
            </w:r>
          </w:p>
        </w:tc>
        <w:tc>
          <w:tcPr>
            <w:tcW w:w="25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202"/>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4"/>
          </w:tcPr>
          <w:p>
            <w:pPr>
              <w:ind w:left="200"/>
              <w:spacing w:after="0" w:line="202"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gridSpan w:val="4"/>
          </w:tcPr>
          <w:p>
            <w:pPr>
              <w:ind w:left="200"/>
              <w:spacing w:after="0"/>
              <w:rPr>
                <w:sz w:val="20"/>
                <w:szCs w:val="20"/>
                <w:color w:val="auto"/>
              </w:rPr>
            </w:pPr>
            <w:r>
              <w:rPr>
                <w:rFonts w:ascii="Courier New" w:cs="Courier New" w:eastAsia="Courier New" w:hAnsi="Courier New"/>
                <w:sz w:val="18"/>
                <w:szCs w:val="18"/>
                <w:color w:val="auto"/>
                <w:w w:val="96"/>
              </w:rPr>
              <w:t>Independent  Auditor's</w:t>
            </w: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Report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F-1</w:t>
            </w:r>
          </w:p>
        </w:tc>
      </w:tr>
      <w:tr>
        <w:trPr>
          <w:trHeight w:val="202"/>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w w:val="95"/>
              </w:rPr>
              <w:t>Balance</w:t>
            </w:r>
          </w:p>
        </w:tc>
        <w:tc>
          <w:tcPr>
            <w:tcW w:w="90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Sheets</w:t>
            </w:r>
          </w:p>
        </w:tc>
        <w:tc>
          <w:tcPr>
            <w:tcW w:w="6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F-2</w:t>
            </w:r>
          </w:p>
        </w:tc>
      </w:tr>
      <w:tr>
        <w:trPr>
          <w:trHeight w:val="202"/>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w w:val="96"/>
              </w:rPr>
              <w:t>Statements</w:t>
            </w:r>
          </w:p>
        </w:tc>
        <w:tc>
          <w:tcPr>
            <w:tcW w:w="58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rPr>
              <w:t>of</w:t>
            </w:r>
          </w:p>
        </w:tc>
        <w:tc>
          <w:tcPr>
            <w:tcW w:w="320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rPr>
              <w:t>Operations</w:t>
            </w:r>
          </w:p>
        </w:tc>
        <w:tc>
          <w:tcPr>
            <w:tcW w:w="1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F-3</w:t>
            </w:r>
          </w:p>
        </w:tc>
      </w:tr>
      <w:tr>
        <w:trPr>
          <w:trHeight w:val="202"/>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w w:val="96"/>
              </w:rPr>
              <w:t>Statements</w:t>
            </w:r>
          </w:p>
        </w:tc>
        <w:tc>
          <w:tcPr>
            <w:tcW w:w="58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rPr>
              <w:t>of</w:t>
            </w:r>
          </w:p>
        </w:tc>
        <w:tc>
          <w:tcPr>
            <w:tcW w:w="320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rPr>
              <w:t>Stockholders'  Deficit</w:t>
            </w:r>
          </w:p>
        </w:tc>
        <w:tc>
          <w:tcPr>
            <w:tcW w:w="1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F-4</w:t>
            </w:r>
          </w:p>
        </w:tc>
      </w:tr>
      <w:tr>
        <w:trPr>
          <w:trHeight w:val="202"/>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w w:val="96"/>
              </w:rPr>
              <w:t>Statements</w:t>
            </w:r>
          </w:p>
        </w:tc>
        <w:tc>
          <w:tcPr>
            <w:tcW w:w="58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rPr>
              <w:t>of</w:t>
            </w:r>
          </w:p>
        </w:tc>
        <w:tc>
          <w:tcPr>
            <w:tcW w:w="68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Cash</w:t>
            </w:r>
          </w:p>
        </w:tc>
        <w:tc>
          <w:tcPr>
            <w:tcW w:w="2520" w:type="dxa"/>
            <w:vAlign w:val="bottom"/>
          </w:tcPr>
          <w:p>
            <w:pPr>
              <w:spacing w:after="0" w:line="202" w:lineRule="exact"/>
              <w:rPr>
                <w:sz w:val="20"/>
                <w:szCs w:val="20"/>
                <w:color w:val="auto"/>
              </w:rPr>
            </w:pPr>
            <w:r>
              <w:rPr>
                <w:rFonts w:ascii="Courier New" w:cs="Courier New" w:eastAsia="Courier New" w:hAnsi="Courier New"/>
                <w:sz w:val="18"/>
                <w:szCs w:val="18"/>
                <w:color w:val="auto"/>
              </w:rPr>
              <w:t>Flows</w:t>
            </w:r>
          </w:p>
        </w:tc>
        <w:tc>
          <w:tcPr>
            <w:tcW w:w="1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F-5</w:t>
            </w:r>
          </w:p>
        </w:tc>
      </w:tr>
      <w:tr>
        <w:trPr>
          <w:trHeight w:val="202"/>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rPr>
              <w:t>Notes</w:t>
            </w:r>
          </w:p>
        </w:tc>
        <w:tc>
          <w:tcPr>
            <w:tcW w:w="32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83"/>
              </w:rPr>
              <w:t>to</w:t>
            </w: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Financial</w:t>
            </w:r>
          </w:p>
        </w:tc>
        <w:tc>
          <w:tcPr>
            <w:tcW w:w="2520" w:type="dxa"/>
            <w:vAlign w:val="bottom"/>
          </w:tcPr>
          <w:p>
            <w:pPr>
              <w:spacing w:after="0" w:line="202" w:lineRule="exact"/>
              <w:rPr>
                <w:sz w:val="20"/>
                <w:szCs w:val="20"/>
                <w:color w:val="auto"/>
              </w:rPr>
            </w:pPr>
            <w:r>
              <w:rPr>
                <w:rFonts w:ascii="Courier New" w:cs="Courier New" w:eastAsia="Courier New" w:hAnsi="Courier New"/>
                <w:sz w:val="18"/>
                <w:szCs w:val="18"/>
                <w:color w:val="auto"/>
              </w:rPr>
              <w:t>Statements</w:t>
            </w:r>
          </w:p>
        </w:tc>
        <w:tc>
          <w:tcPr>
            <w:tcW w:w="1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F-6/13</w:t>
            </w:r>
          </w:p>
        </w:tc>
      </w:tr>
      <w:tr>
        <w:trPr>
          <w:trHeight w:val="202"/>
        </w:trPr>
        <w:tc>
          <w:tcPr>
            <w:tcW w:w="1160" w:type="dxa"/>
            <w:vAlign w:val="bottom"/>
          </w:tcPr>
          <w:p>
            <w:pPr>
              <w:spacing w:after="0"/>
              <w:rPr>
                <w:sz w:val="17"/>
                <w:szCs w:val="17"/>
                <w:color w:val="auto"/>
              </w:rPr>
            </w:pPr>
          </w:p>
        </w:tc>
        <w:tc>
          <w:tcPr>
            <w:tcW w:w="6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2.</w:t>
            </w:r>
          </w:p>
        </w:tc>
        <w:tc>
          <w:tcPr>
            <w:tcW w:w="126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Exhibits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6"/>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139"/>
          </w:cols>
          <w:pgMar w:left="320" w:top="513" w:right="1440" w:bottom="809"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Exhibit</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2"/>
        </w:trPr>
        <w:tc>
          <w:tcPr>
            <w:tcW w:w="100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Number</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2"/>
        </w:trPr>
        <w:tc>
          <w:tcPr>
            <w:tcW w:w="2320" w:type="dxa"/>
            <w:vAlign w:val="bottom"/>
            <w:gridSpan w:val="2"/>
          </w:tcPr>
          <w:p>
            <w:pPr>
              <w:jc w:val="right"/>
              <w:ind w:right="852"/>
              <w:spacing w:after="0" w:line="202" w:lineRule="exact"/>
              <w:rPr>
                <w:sz w:val="20"/>
                <w:szCs w:val="20"/>
                <w:color w:val="auto"/>
              </w:rPr>
            </w:pPr>
            <w:r>
              <w:rPr>
                <w:rFonts w:ascii="Courier New" w:cs="Courier New" w:eastAsia="Courier New" w:hAnsi="Courier New"/>
                <w:sz w:val="18"/>
                <w:szCs w:val="18"/>
                <w:color w:val="auto"/>
                <w:w w:val="96"/>
              </w:rPr>
              <w:t>- -----------</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3.1</w:t>
            </w: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w w:val="97"/>
              </w:rPr>
              <w:t>Articles of Incorporation (incorporated by reference to Exhibit 3.1</w:t>
            </w:r>
          </w:p>
        </w:tc>
      </w:tr>
      <w:tr>
        <w:trPr>
          <w:trHeight w:val="202"/>
        </w:trPr>
        <w:tc>
          <w:tcPr>
            <w:tcW w:w="1000" w:type="dxa"/>
            <w:vAlign w:val="bottom"/>
          </w:tcPr>
          <w:p>
            <w:pPr>
              <w:spacing w:after="0"/>
              <w:rPr>
                <w:sz w:val="17"/>
                <w:szCs w:val="17"/>
                <w:color w:val="auto"/>
              </w:rPr>
            </w:pP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rPr>
              <w:t>to Company's Registration Statement on Form SB-2 (File No.</w:t>
            </w:r>
          </w:p>
        </w:tc>
      </w:tr>
      <w:tr>
        <w:trPr>
          <w:trHeight w:val="202"/>
        </w:trPr>
        <w:tc>
          <w:tcPr>
            <w:tcW w:w="1000" w:type="dxa"/>
            <w:vAlign w:val="bottom"/>
          </w:tcPr>
          <w:p>
            <w:pPr>
              <w:spacing w:after="0"/>
              <w:rPr>
                <w:sz w:val="17"/>
                <w:szCs w:val="17"/>
                <w:color w:val="auto"/>
              </w:rPr>
            </w:pP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rPr>
              <w:t>33-60774-D), filed  with  the  Commission  on  April  8,  1993</w:t>
            </w:r>
          </w:p>
        </w:tc>
      </w:tr>
      <w:tr>
        <w:trPr>
          <w:trHeight w:val="202"/>
        </w:trPr>
        <w:tc>
          <w:tcPr>
            <w:tcW w:w="1000" w:type="dxa"/>
            <w:vAlign w:val="bottom"/>
          </w:tcPr>
          <w:p>
            <w:pPr>
              <w:spacing w:after="0"/>
              <w:rPr>
                <w:sz w:val="17"/>
                <w:szCs w:val="17"/>
                <w:color w:val="auto"/>
              </w:rPr>
            </w:pPr>
          </w:p>
        </w:tc>
        <w:tc>
          <w:tcPr>
            <w:tcW w:w="1840" w:type="dxa"/>
            <w:vAlign w:val="bottom"/>
            <w:gridSpan w:val="2"/>
          </w:tcPr>
          <w:p>
            <w:pPr>
              <w:ind w:left="380"/>
              <w:spacing w:after="0" w:line="202" w:lineRule="exact"/>
              <w:rPr>
                <w:sz w:val="20"/>
                <w:szCs w:val="20"/>
                <w:color w:val="auto"/>
              </w:rPr>
            </w:pPr>
            <w:r>
              <w:rPr>
                <w:rFonts w:ascii="Courier New" w:cs="Courier New" w:eastAsia="Courier New" w:hAnsi="Courier New"/>
                <w:sz w:val="18"/>
                <w:szCs w:val="18"/>
                <w:color w:val="auto"/>
                <w:w w:val="95"/>
              </w:rPr>
              <w:t>("Registration</w:t>
            </w:r>
          </w:p>
        </w:tc>
        <w:tc>
          <w:tcPr>
            <w:tcW w:w="1480" w:type="dxa"/>
            <w:vAlign w:val="bottom"/>
            <w:gridSpan w:val="4"/>
          </w:tcPr>
          <w:p>
            <w:pPr>
              <w:ind w:left="220"/>
              <w:spacing w:after="0" w:line="202" w:lineRule="exact"/>
              <w:rPr>
                <w:sz w:val="20"/>
                <w:szCs w:val="20"/>
                <w:color w:val="auto"/>
              </w:rPr>
            </w:pPr>
            <w:r>
              <w:rPr>
                <w:rFonts w:ascii="Courier New" w:cs="Courier New" w:eastAsia="Courier New" w:hAnsi="Courier New"/>
                <w:sz w:val="18"/>
                <w:szCs w:val="18"/>
                <w:color w:val="auto"/>
                <w:w w:val="95"/>
              </w:rPr>
              <w:t>Statement").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3.2</w:t>
            </w: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rPr>
              <w:t>By-laws  (incorporated  by  reference  to  Exhibit  3.2  to</w:t>
            </w:r>
          </w:p>
        </w:tc>
      </w:tr>
      <w:tr>
        <w:trPr>
          <w:trHeight w:val="202"/>
        </w:trPr>
        <w:tc>
          <w:tcPr>
            <w:tcW w:w="1000" w:type="dxa"/>
            <w:vAlign w:val="bottom"/>
          </w:tcPr>
          <w:p>
            <w:pPr>
              <w:spacing w:after="0"/>
              <w:rPr>
                <w:sz w:val="17"/>
                <w:szCs w:val="17"/>
                <w:color w:val="auto"/>
              </w:rPr>
            </w:pPr>
          </w:p>
        </w:tc>
        <w:tc>
          <w:tcPr>
            <w:tcW w:w="2940" w:type="dxa"/>
            <w:vAlign w:val="bottom"/>
            <w:gridSpan w:val="5"/>
          </w:tcPr>
          <w:p>
            <w:pPr>
              <w:ind w:left="380"/>
              <w:spacing w:after="0" w:line="202" w:lineRule="exact"/>
              <w:rPr>
                <w:sz w:val="20"/>
                <w:szCs w:val="20"/>
                <w:color w:val="auto"/>
              </w:rPr>
            </w:pPr>
            <w:r>
              <w:rPr>
                <w:rFonts w:ascii="Courier New" w:cs="Courier New" w:eastAsia="Courier New" w:hAnsi="Courier New"/>
                <w:sz w:val="18"/>
                <w:szCs w:val="18"/>
                <w:color w:val="auto"/>
                <w:w w:val="97"/>
              </w:rPr>
              <w:t>Registration Statement).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10.01</w:t>
            </w:r>
          </w:p>
        </w:tc>
        <w:tc>
          <w:tcPr>
            <w:tcW w:w="4580" w:type="dxa"/>
            <w:vAlign w:val="bottom"/>
            <w:gridSpan w:val="8"/>
          </w:tcPr>
          <w:p>
            <w:pPr>
              <w:ind w:left="380"/>
              <w:spacing w:after="0" w:line="202" w:lineRule="exact"/>
              <w:rPr>
                <w:sz w:val="20"/>
                <w:szCs w:val="20"/>
                <w:color w:val="auto"/>
              </w:rPr>
            </w:pPr>
            <w:r>
              <w:rPr>
                <w:rFonts w:ascii="Courier New" w:cs="Courier New" w:eastAsia="Courier New" w:hAnsi="Courier New"/>
                <w:sz w:val="18"/>
                <w:szCs w:val="18"/>
                <w:color w:val="auto"/>
              </w:rPr>
              <w:t>Sale  of  Assets  Agreement  dated  as</w:t>
            </w:r>
          </w:p>
        </w:tc>
        <w:tc>
          <w:tcPr>
            <w:tcW w:w="2840" w:type="dxa"/>
            <w:vAlign w:val="bottom"/>
          </w:tcPr>
          <w:p>
            <w:pPr>
              <w:spacing w:after="0" w:line="202" w:lineRule="exact"/>
              <w:rPr>
                <w:sz w:val="20"/>
                <w:szCs w:val="20"/>
                <w:color w:val="auto"/>
              </w:rPr>
            </w:pPr>
            <w:r>
              <w:rPr>
                <w:rFonts w:ascii="Courier New" w:cs="Courier New" w:eastAsia="Courier New" w:hAnsi="Courier New"/>
                <w:sz w:val="18"/>
                <w:szCs w:val="18"/>
                <w:color w:val="auto"/>
              </w:rPr>
              <w:t>of November 2, 1993,</w:t>
            </w:r>
          </w:p>
        </w:tc>
      </w:tr>
      <w:tr>
        <w:trPr>
          <w:trHeight w:val="202"/>
        </w:trPr>
        <w:tc>
          <w:tcPr>
            <w:tcW w:w="1000" w:type="dxa"/>
            <w:vAlign w:val="bottom"/>
          </w:tcPr>
          <w:p>
            <w:pPr>
              <w:spacing w:after="0"/>
              <w:rPr>
                <w:sz w:val="17"/>
                <w:szCs w:val="17"/>
                <w:color w:val="auto"/>
              </w:rPr>
            </w:pPr>
          </w:p>
        </w:tc>
        <w:tc>
          <w:tcPr>
            <w:tcW w:w="4580" w:type="dxa"/>
            <w:vAlign w:val="bottom"/>
            <w:gridSpan w:val="8"/>
          </w:tcPr>
          <w:p>
            <w:pPr>
              <w:ind w:left="380"/>
              <w:spacing w:after="0" w:line="202" w:lineRule="exact"/>
              <w:rPr>
                <w:sz w:val="20"/>
                <w:szCs w:val="20"/>
                <w:color w:val="auto"/>
              </w:rPr>
            </w:pPr>
            <w:r>
              <w:rPr>
                <w:rFonts w:ascii="Courier New" w:cs="Courier New" w:eastAsia="Courier New" w:hAnsi="Courier New"/>
                <w:sz w:val="18"/>
                <w:szCs w:val="18"/>
                <w:color w:val="auto"/>
                <w:w w:val="99"/>
              </w:rPr>
              <w:t>between Powerhouse Computer Sales, Ltd.</w:t>
            </w:r>
          </w:p>
        </w:tc>
        <w:tc>
          <w:tcPr>
            <w:tcW w:w="2840" w:type="dxa"/>
            <w:vAlign w:val="bottom"/>
          </w:tcPr>
          <w:p>
            <w:pPr>
              <w:spacing w:after="0" w:line="202" w:lineRule="exact"/>
              <w:rPr>
                <w:sz w:val="20"/>
                <w:szCs w:val="20"/>
                <w:color w:val="auto"/>
              </w:rPr>
            </w:pPr>
            <w:r>
              <w:rPr>
                <w:rFonts w:ascii="Courier New" w:cs="Courier New" w:eastAsia="Courier New" w:hAnsi="Courier New"/>
                <w:sz w:val="18"/>
                <w:szCs w:val="18"/>
                <w:color w:val="auto"/>
              </w:rPr>
              <w:t>and the Company (Form 8-K</w:t>
            </w:r>
          </w:p>
        </w:tc>
      </w:tr>
      <w:tr>
        <w:trPr>
          <w:trHeight w:val="202"/>
        </w:trPr>
        <w:tc>
          <w:tcPr>
            <w:tcW w:w="1000" w:type="dxa"/>
            <w:vAlign w:val="bottom"/>
          </w:tcPr>
          <w:p>
            <w:pPr>
              <w:spacing w:after="0"/>
              <w:rPr>
                <w:sz w:val="17"/>
                <w:szCs w:val="17"/>
                <w:color w:val="auto"/>
              </w:rPr>
            </w:pPr>
          </w:p>
        </w:tc>
        <w:tc>
          <w:tcPr>
            <w:tcW w:w="2160" w:type="dxa"/>
            <w:vAlign w:val="bottom"/>
            <w:gridSpan w:val="3"/>
          </w:tcPr>
          <w:p>
            <w:pPr>
              <w:ind w:left="380"/>
              <w:spacing w:after="0" w:line="202" w:lineRule="exact"/>
              <w:rPr>
                <w:sz w:val="20"/>
                <w:szCs w:val="20"/>
                <w:color w:val="auto"/>
              </w:rPr>
            </w:pPr>
            <w:r>
              <w:rPr>
                <w:rFonts w:ascii="Courier New" w:cs="Courier New" w:eastAsia="Courier New" w:hAnsi="Courier New"/>
                <w:sz w:val="18"/>
                <w:szCs w:val="18"/>
                <w:color w:val="auto"/>
                <w:w w:val="95"/>
              </w:rPr>
              <w:t>dated November 2,</w:t>
            </w:r>
          </w:p>
        </w:tc>
        <w:tc>
          <w:tcPr>
            <w:tcW w:w="7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1993,</w:t>
            </w:r>
          </w:p>
        </w:tc>
        <w:tc>
          <w:tcPr>
            <w:tcW w:w="58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w w:val="92"/>
              </w:rPr>
              <w:t>file</w:t>
            </w:r>
          </w:p>
        </w:tc>
        <w:tc>
          <w:tcPr>
            <w:tcW w:w="10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number</w:t>
            </w:r>
          </w:p>
        </w:tc>
        <w:tc>
          <w:tcPr>
            <w:tcW w:w="2840" w:type="dxa"/>
            <w:vAlign w:val="bottom"/>
          </w:tcPr>
          <w:p>
            <w:pPr>
              <w:spacing w:after="0" w:line="202" w:lineRule="exact"/>
              <w:rPr>
                <w:sz w:val="20"/>
                <w:szCs w:val="20"/>
                <w:color w:val="auto"/>
              </w:rPr>
            </w:pPr>
            <w:r>
              <w:rPr>
                <w:rFonts w:ascii="Courier New" w:cs="Courier New" w:eastAsia="Courier New" w:hAnsi="Courier New"/>
                <w:sz w:val="18"/>
                <w:szCs w:val="18"/>
                <w:color w:val="auto"/>
              </w:rPr>
              <w:t>000-21898)</w:t>
            </w: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10.02</w:t>
            </w:r>
          </w:p>
        </w:tc>
        <w:tc>
          <w:tcPr>
            <w:tcW w:w="1840" w:type="dxa"/>
            <w:vAlign w:val="bottom"/>
            <w:gridSpan w:val="2"/>
          </w:tcPr>
          <w:p>
            <w:pPr>
              <w:ind w:left="380"/>
              <w:spacing w:after="0" w:line="202" w:lineRule="exact"/>
              <w:rPr>
                <w:sz w:val="20"/>
                <w:szCs w:val="20"/>
                <w:color w:val="auto"/>
              </w:rPr>
            </w:pPr>
            <w:r>
              <w:rPr>
                <w:rFonts w:ascii="Courier New" w:cs="Courier New" w:eastAsia="Courier New" w:hAnsi="Courier New"/>
                <w:sz w:val="18"/>
                <w:szCs w:val="18"/>
                <w:color w:val="auto"/>
              </w:rPr>
              <w:t>Disbursement</w:t>
            </w:r>
          </w:p>
        </w:tc>
        <w:tc>
          <w:tcPr>
            <w:tcW w:w="5580" w:type="dxa"/>
            <w:vAlign w:val="bottom"/>
            <w:gridSpan w:val="7"/>
          </w:tcPr>
          <w:p>
            <w:pPr>
              <w:spacing w:after="0" w:line="202" w:lineRule="exact"/>
              <w:rPr>
                <w:sz w:val="20"/>
                <w:szCs w:val="20"/>
                <w:color w:val="auto"/>
              </w:rPr>
            </w:pPr>
            <w:r>
              <w:rPr>
                <w:rFonts w:ascii="Courier New" w:cs="Courier New" w:eastAsia="Courier New" w:hAnsi="Courier New"/>
                <w:sz w:val="18"/>
                <w:szCs w:val="18"/>
                <w:color w:val="auto"/>
              </w:rPr>
              <w:t>Request and Authorization, and Promissory Note</w:t>
            </w:r>
          </w:p>
        </w:tc>
      </w:tr>
      <w:tr>
        <w:trPr>
          <w:trHeight w:val="202"/>
        </w:trPr>
        <w:tc>
          <w:tcPr>
            <w:tcW w:w="1000" w:type="dxa"/>
            <w:vAlign w:val="bottom"/>
          </w:tcPr>
          <w:p>
            <w:pPr>
              <w:spacing w:after="0"/>
              <w:rPr>
                <w:sz w:val="17"/>
                <w:szCs w:val="17"/>
                <w:color w:val="auto"/>
              </w:rPr>
            </w:pP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rPr>
              <w:t>payable  to  Western  Bank,  dated  January  20,  1994*</w:t>
            </w: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10.03</w:t>
            </w:r>
          </w:p>
        </w:tc>
        <w:tc>
          <w:tcPr>
            <w:tcW w:w="1840" w:type="dxa"/>
            <w:vAlign w:val="bottom"/>
            <w:gridSpan w:val="2"/>
          </w:tcPr>
          <w:p>
            <w:pPr>
              <w:ind w:left="380"/>
              <w:spacing w:after="0" w:line="202" w:lineRule="exact"/>
              <w:rPr>
                <w:sz w:val="20"/>
                <w:szCs w:val="20"/>
                <w:color w:val="auto"/>
              </w:rPr>
            </w:pPr>
            <w:r>
              <w:rPr>
                <w:rFonts w:ascii="Courier New" w:cs="Courier New" w:eastAsia="Courier New" w:hAnsi="Courier New"/>
                <w:sz w:val="18"/>
                <w:szCs w:val="18"/>
                <w:color w:val="auto"/>
              </w:rPr>
              <w:t>Disbursement</w:t>
            </w:r>
          </w:p>
        </w:tc>
        <w:tc>
          <w:tcPr>
            <w:tcW w:w="5580" w:type="dxa"/>
            <w:vAlign w:val="bottom"/>
            <w:gridSpan w:val="7"/>
          </w:tcPr>
          <w:p>
            <w:pPr>
              <w:spacing w:after="0" w:line="202" w:lineRule="exact"/>
              <w:rPr>
                <w:sz w:val="20"/>
                <w:szCs w:val="20"/>
                <w:color w:val="auto"/>
              </w:rPr>
            </w:pPr>
            <w:r>
              <w:rPr>
                <w:rFonts w:ascii="Courier New" w:cs="Courier New" w:eastAsia="Courier New" w:hAnsi="Courier New"/>
                <w:sz w:val="18"/>
                <w:szCs w:val="18"/>
                <w:color w:val="auto"/>
              </w:rPr>
              <w:t>Request and Authorization, and Promissory Note</w:t>
            </w:r>
          </w:p>
        </w:tc>
      </w:tr>
      <w:tr>
        <w:trPr>
          <w:trHeight w:val="202"/>
        </w:trPr>
        <w:tc>
          <w:tcPr>
            <w:tcW w:w="1000" w:type="dxa"/>
            <w:vAlign w:val="bottom"/>
          </w:tcPr>
          <w:p>
            <w:pPr>
              <w:spacing w:after="0"/>
              <w:rPr>
                <w:sz w:val="17"/>
                <w:szCs w:val="17"/>
                <w:color w:val="auto"/>
              </w:rPr>
            </w:pP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w w:val="99"/>
              </w:rPr>
              <w:t>payable to Western Bank, each dated November 2, 1993 (Form 10-QSB</w:t>
            </w:r>
          </w:p>
        </w:tc>
      </w:tr>
      <w:tr>
        <w:trPr>
          <w:trHeight w:val="202"/>
        </w:trPr>
        <w:tc>
          <w:tcPr>
            <w:tcW w:w="1000" w:type="dxa"/>
            <w:vAlign w:val="bottom"/>
          </w:tcPr>
          <w:p>
            <w:pPr>
              <w:spacing w:after="0"/>
              <w:rPr>
                <w:sz w:val="17"/>
                <w:szCs w:val="17"/>
                <w:color w:val="auto"/>
              </w:rPr>
            </w:pPr>
          </w:p>
        </w:tc>
        <w:tc>
          <w:tcPr>
            <w:tcW w:w="2160" w:type="dxa"/>
            <w:vAlign w:val="bottom"/>
            <w:gridSpan w:val="3"/>
          </w:tcPr>
          <w:p>
            <w:pPr>
              <w:ind w:left="380"/>
              <w:spacing w:after="0" w:line="202" w:lineRule="exact"/>
              <w:rPr>
                <w:sz w:val="20"/>
                <w:szCs w:val="20"/>
                <w:color w:val="auto"/>
              </w:rPr>
            </w:pPr>
            <w:r>
              <w:rPr>
                <w:rFonts w:ascii="Courier New" w:cs="Courier New" w:eastAsia="Courier New" w:hAnsi="Courier New"/>
                <w:sz w:val="18"/>
                <w:szCs w:val="18"/>
                <w:color w:val="auto"/>
                <w:w w:val="95"/>
              </w:rPr>
              <w:t>dated February 8,</w:t>
            </w:r>
          </w:p>
        </w:tc>
        <w:tc>
          <w:tcPr>
            <w:tcW w:w="7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1994,</w:t>
            </w:r>
          </w:p>
        </w:tc>
        <w:tc>
          <w:tcPr>
            <w:tcW w:w="58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w w:val="92"/>
              </w:rPr>
              <w:t>file</w:t>
            </w:r>
          </w:p>
        </w:tc>
        <w:tc>
          <w:tcPr>
            <w:tcW w:w="10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number</w:t>
            </w:r>
          </w:p>
        </w:tc>
        <w:tc>
          <w:tcPr>
            <w:tcW w:w="2840" w:type="dxa"/>
            <w:vAlign w:val="bottom"/>
          </w:tcPr>
          <w:p>
            <w:pPr>
              <w:spacing w:after="0" w:line="202" w:lineRule="exact"/>
              <w:rPr>
                <w:sz w:val="20"/>
                <w:szCs w:val="20"/>
                <w:color w:val="auto"/>
              </w:rPr>
            </w:pPr>
            <w:r>
              <w:rPr>
                <w:rFonts w:ascii="Courier New" w:cs="Courier New" w:eastAsia="Courier New" w:hAnsi="Courier New"/>
                <w:sz w:val="18"/>
                <w:szCs w:val="18"/>
                <w:color w:val="auto"/>
              </w:rPr>
              <w:t>000-21898)</w:t>
            </w: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10.04</w:t>
            </w:r>
          </w:p>
        </w:tc>
        <w:tc>
          <w:tcPr>
            <w:tcW w:w="1320" w:type="dxa"/>
            <w:vAlign w:val="bottom"/>
          </w:tcPr>
          <w:p>
            <w:pPr>
              <w:ind w:left="380"/>
              <w:spacing w:after="0" w:line="202" w:lineRule="exact"/>
              <w:rPr>
                <w:sz w:val="20"/>
                <w:szCs w:val="20"/>
                <w:color w:val="auto"/>
              </w:rPr>
            </w:pPr>
            <w:r>
              <w:rPr>
                <w:rFonts w:ascii="Courier New" w:cs="Courier New" w:eastAsia="Courier New" w:hAnsi="Courier New"/>
                <w:sz w:val="18"/>
                <w:szCs w:val="18"/>
                <w:color w:val="auto"/>
                <w:w w:val="94"/>
              </w:rPr>
              <w:t>Agreement</w:t>
            </w:r>
          </w:p>
        </w:tc>
        <w:tc>
          <w:tcPr>
            <w:tcW w:w="84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dated</w:t>
            </w:r>
          </w:p>
        </w:tc>
        <w:tc>
          <w:tcPr>
            <w:tcW w:w="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as</w:t>
            </w:r>
          </w:p>
        </w:tc>
        <w:tc>
          <w:tcPr>
            <w:tcW w:w="4940" w:type="dxa"/>
            <w:vAlign w:val="bottom"/>
            <w:gridSpan w:val="5"/>
          </w:tcPr>
          <w:p>
            <w:pPr>
              <w:ind w:left="200"/>
              <w:spacing w:after="0" w:line="202" w:lineRule="exact"/>
              <w:rPr>
                <w:sz w:val="20"/>
                <w:szCs w:val="20"/>
                <w:color w:val="auto"/>
              </w:rPr>
            </w:pPr>
            <w:r>
              <w:rPr>
                <w:rFonts w:ascii="Courier New" w:cs="Courier New" w:eastAsia="Courier New" w:hAnsi="Courier New"/>
                <w:sz w:val="18"/>
                <w:szCs w:val="18"/>
                <w:color w:val="auto"/>
              </w:rPr>
              <w:t>of  September  29,  1993,  between the</w:t>
            </w:r>
          </w:p>
        </w:tc>
      </w:tr>
      <w:tr>
        <w:trPr>
          <w:trHeight w:val="202"/>
        </w:trPr>
        <w:tc>
          <w:tcPr>
            <w:tcW w:w="1000" w:type="dxa"/>
            <w:vAlign w:val="bottom"/>
          </w:tcPr>
          <w:p>
            <w:pPr>
              <w:spacing w:after="0"/>
              <w:rPr>
                <w:sz w:val="17"/>
                <w:szCs w:val="17"/>
                <w:color w:val="auto"/>
              </w:rPr>
            </w:pPr>
          </w:p>
        </w:tc>
        <w:tc>
          <w:tcPr>
            <w:tcW w:w="1320" w:type="dxa"/>
            <w:vAlign w:val="bottom"/>
          </w:tcPr>
          <w:p>
            <w:pPr>
              <w:ind w:left="380"/>
              <w:spacing w:after="0" w:line="202" w:lineRule="exact"/>
              <w:rPr>
                <w:sz w:val="20"/>
                <w:szCs w:val="20"/>
                <w:color w:val="auto"/>
              </w:rPr>
            </w:pPr>
            <w:r>
              <w:rPr>
                <w:rFonts w:ascii="Courier New" w:cs="Courier New" w:eastAsia="Courier New" w:hAnsi="Courier New"/>
                <w:sz w:val="18"/>
                <w:szCs w:val="18"/>
                <w:color w:val="auto"/>
              </w:rPr>
              <w:t>Company</w:t>
            </w:r>
          </w:p>
        </w:tc>
        <w:tc>
          <w:tcPr>
            <w:tcW w:w="520" w:type="dxa"/>
            <w:vAlign w:val="bottom"/>
          </w:tcPr>
          <w:p>
            <w:pPr>
              <w:spacing w:after="0" w:line="202" w:lineRule="exact"/>
              <w:rPr>
                <w:sz w:val="20"/>
                <w:szCs w:val="20"/>
                <w:color w:val="auto"/>
              </w:rPr>
            </w:pPr>
            <w:r>
              <w:rPr>
                <w:rFonts w:ascii="Courier New" w:cs="Courier New" w:eastAsia="Courier New" w:hAnsi="Courier New"/>
                <w:sz w:val="18"/>
                <w:szCs w:val="18"/>
                <w:color w:val="auto"/>
              </w:rPr>
              <w:t>and</w:t>
            </w:r>
          </w:p>
        </w:tc>
        <w:tc>
          <w:tcPr>
            <w:tcW w:w="6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5"/>
              </w:rPr>
              <w:t>Torrey</w:t>
            </w:r>
          </w:p>
        </w:tc>
        <w:tc>
          <w:tcPr>
            <w:tcW w:w="84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Pines</w:t>
            </w:r>
          </w:p>
        </w:tc>
        <w:tc>
          <w:tcPr>
            <w:tcW w:w="4100" w:type="dxa"/>
            <w:vAlign w:val="bottom"/>
            <w:gridSpan w:val="3"/>
          </w:tcPr>
          <w:p>
            <w:pPr>
              <w:ind w:left="100"/>
              <w:spacing w:after="0" w:line="202" w:lineRule="exact"/>
              <w:rPr>
                <w:sz w:val="20"/>
                <w:szCs w:val="20"/>
                <w:color w:val="auto"/>
              </w:rPr>
            </w:pPr>
            <w:r>
              <w:rPr>
                <w:rFonts w:ascii="Courier New" w:cs="Courier New" w:eastAsia="Courier New" w:hAnsi="Courier New"/>
                <w:sz w:val="18"/>
                <w:szCs w:val="18"/>
                <w:color w:val="auto"/>
              </w:rPr>
              <w:t>Research (Form 10-KSB dated</w:t>
            </w:r>
          </w:p>
        </w:tc>
      </w:tr>
      <w:tr>
        <w:trPr>
          <w:trHeight w:val="202"/>
        </w:trPr>
        <w:tc>
          <w:tcPr>
            <w:tcW w:w="1000" w:type="dxa"/>
            <w:vAlign w:val="bottom"/>
          </w:tcPr>
          <w:p>
            <w:pPr>
              <w:spacing w:after="0"/>
              <w:rPr>
                <w:sz w:val="17"/>
                <w:szCs w:val="17"/>
                <w:color w:val="auto"/>
              </w:rPr>
            </w:pPr>
          </w:p>
        </w:tc>
        <w:tc>
          <w:tcPr>
            <w:tcW w:w="3520" w:type="dxa"/>
            <w:vAlign w:val="bottom"/>
            <w:gridSpan w:val="7"/>
          </w:tcPr>
          <w:p>
            <w:pPr>
              <w:ind w:left="380"/>
              <w:spacing w:after="0" w:line="202" w:lineRule="exact"/>
              <w:rPr>
                <w:sz w:val="20"/>
                <w:szCs w:val="20"/>
                <w:color w:val="auto"/>
              </w:rPr>
            </w:pPr>
            <w:r>
              <w:rPr>
                <w:rFonts w:ascii="Courier New" w:cs="Courier New" w:eastAsia="Courier New" w:hAnsi="Courier New"/>
                <w:sz w:val="18"/>
                <w:szCs w:val="18"/>
                <w:color w:val="auto"/>
                <w:w w:val="96"/>
              </w:rPr>
              <w:t>December 27, 1993, file number</w:t>
            </w:r>
          </w:p>
        </w:tc>
        <w:tc>
          <w:tcPr>
            <w:tcW w:w="390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rPr>
              <w:t>000-21898)</w:t>
            </w: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10.05</w:t>
            </w:r>
          </w:p>
        </w:tc>
        <w:tc>
          <w:tcPr>
            <w:tcW w:w="1320" w:type="dxa"/>
            <w:vAlign w:val="bottom"/>
          </w:tcPr>
          <w:p>
            <w:pPr>
              <w:ind w:left="380"/>
              <w:spacing w:after="0" w:line="202" w:lineRule="exact"/>
              <w:rPr>
                <w:sz w:val="20"/>
                <w:szCs w:val="20"/>
                <w:color w:val="auto"/>
              </w:rPr>
            </w:pPr>
            <w:r>
              <w:rPr>
                <w:rFonts w:ascii="Courier New" w:cs="Courier New" w:eastAsia="Courier New" w:hAnsi="Courier New"/>
                <w:sz w:val="18"/>
                <w:szCs w:val="18"/>
                <w:color w:val="auto"/>
              </w:rPr>
              <w:t>Sublease</w:t>
            </w:r>
          </w:p>
        </w:tc>
        <w:tc>
          <w:tcPr>
            <w:tcW w:w="1160" w:type="dxa"/>
            <w:vAlign w:val="bottom"/>
            <w:gridSpan w:val="3"/>
          </w:tcPr>
          <w:p>
            <w:pPr>
              <w:jc w:val="right"/>
              <w:ind w:right="32"/>
              <w:spacing w:after="0" w:line="202" w:lineRule="exact"/>
              <w:rPr>
                <w:sz w:val="20"/>
                <w:szCs w:val="20"/>
                <w:color w:val="auto"/>
              </w:rPr>
            </w:pPr>
            <w:r>
              <w:rPr>
                <w:rFonts w:ascii="Courier New" w:cs="Courier New" w:eastAsia="Courier New" w:hAnsi="Courier New"/>
                <w:sz w:val="18"/>
                <w:szCs w:val="18"/>
                <w:color w:val="auto"/>
              </w:rPr>
              <w:t>Agreement</w:t>
            </w:r>
          </w:p>
        </w:tc>
        <w:tc>
          <w:tcPr>
            <w:tcW w:w="84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dated</w:t>
            </w:r>
          </w:p>
        </w:tc>
        <w:tc>
          <w:tcPr>
            <w:tcW w:w="200" w:type="dxa"/>
            <w:vAlign w:val="bottom"/>
          </w:tcPr>
          <w:p>
            <w:pPr>
              <w:spacing w:after="0" w:line="202" w:lineRule="exact"/>
              <w:rPr>
                <w:sz w:val="20"/>
                <w:szCs w:val="20"/>
                <w:color w:val="auto"/>
              </w:rPr>
            </w:pPr>
            <w:r>
              <w:rPr>
                <w:rFonts w:ascii="Courier New" w:cs="Courier New" w:eastAsia="Courier New" w:hAnsi="Courier New"/>
                <w:sz w:val="18"/>
                <w:szCs w:val="18"/>
                <w:color w:val="auto"/>
                <w:w w:val="83"/>
              </w:rPr>
              <w:t>as</w:t>
            </w:r>
          </w:p>
        </w:tc>
        <w:tc>
          <w:tcPr>
            <w:tcW w:w="390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rPr>
              <w:t>of July 1, 1993, between the</w:t>
            </w:r>
          </w:p>
        </w:tc>
      </w:tr>
      <w:tr>
        <w:trPr>
          <w:trHeight w:val="202"/>
        </w:trPr>
        <w:tc>
          <w:tcPr>
            <w:tcW w:w="1000" w:type="dxa"/>
            <w:vAlign w:val="bottom"/>
          </w:tcPr>
          <w:p>
            <w:pPr>
              <w:spacing w:after="0"/>
              <w:rPr>
                <w:sz w:val="17"/>
                <w:szCs w:val="17"/>
                <w:color w:val="auto"/>
              </w:rPr>
            </w:pPr>
          </w:p>
        </w:tc>
        <w:tc>
          <w:tcPr>
            <w:tcW w:w="1320" w:type="dxa"/>
            <w:vAlign w:val="bottom"/>
          </w:tcPr>
          <w:p>
            <w:pPr>
              <w:ind w:left="380"/>
              <w:spacing w:after="0" w:line="202" w:lineRule="exact"/>
              <w:rPr>
                <w:sz w:val="20"/>
                <w:szCs w:val="20"/>
                <w:color w:val="auto"/>
              </w:rPr>
            </w:pPr>
            <w:r>
              <w:rPr>
                <w:rFonts w:ascii="Courier New" w:cs="Courier New" w:eastAsia="Courier New" w:hAnsi="Courier New"/>
                <w:sz w:val="18"/>
                <w:szCs w:val="18"/>
                <w:color w:val="auto"/>
              </w:rPr>
              <w:t>Company</w:t>
            </w:r>
          </w:p>
        </w:tc>
        <w:tc>
          <w:tcPr>
            <w:tcW w:w="520" w:type="dxa"/>
            <w:vAlign w:val="bottom"/>
          </w:tcPr>
          <w:p>
            <w:pPr>
              <w:spacing w:after="0" w:line="202" w:lineRule="exact"/>
              <w:rPr>
                <w:sz w:val="20"/>
                <w:szCs w:val="20"/>
                <w:color w:val="auto"/>
              </w:rPr>
            </w:pPr>
            <w:r>
              <w:rPr>
                <w:rFonts w:ascii="Courier New" w:cs="Courier New" w:eastAsia="Courier New" w:hAnsi="Courier New"/>
                <w:sz w:val="18"/>
                <w:szCs w:val="18"/>
                <w:color w:val="auto"/>
              </w:rPr>
              <w:t>and</w:t>
            </w:r>
          </w:p>
        </w:tc>
        <w:tc>
          <w:tcPr>
            <w:tcW w:w="6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5"/>
              </w:rPr>
              <w:t>Torrey</w:t>
            </w:r>
          </w:p>
        </w:tc>
        <w:tc>
          <w:tcPr>
            <w:tcW w:w="84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Pines</w:t>
            </w:r>
          </w:p>
        </w:tc>
        <w:tc>
          <w:tcPr>
            <w:tcW w:w="4100" w:type="dxa"/>
            <w:vAlign w:val="bottom"/>
            <w:gridSpan w:val="3"/>
          </w:tcPr>
          <w:p>
            <w:pPr>
              <w:ind w:left="100"/>
              <w:spacing w:after="0" w:line="202" w:lineRule="exact"/>
              <w:rPr>
                <w:sz w:val="20"/>
                <w:szCs w:val="20"/>
                <w:color w:val="auto"/>
              </w:rPr>
            </w:pPr>
            <w:r>
              <w:rPr>
                <w:rFonts w:ascii="Courier New" w:cs="Courier New" w:eastAsia="Courier New" w:hAnsi="Courier New"/>
                <w:sz w:val="18"/>
                <w:szCs w:val="18"/>
                <w:color w:val="auto"/>
              </w:rPr>
              <w:t>Research (Form 10-KSB dated</w:t>
            </w:r>
          </w:p>
        </w:tc>
      </w:tr>
      <w:tr>
        <w:trPr>
          <w:trHeight w:val="202"/>
        </w:trPr>
        <w:tc>
          <w:tcPr>
            <w:tcW w:w="1000" w:type="dxa"/>
            <w:vAlign w:val="bottom"/>
          </w:tcPr>
          <w:p>
            <w:pPr>
              <w:spacing w:after="0"/>
              <w:rPr>
                <w:sz w:val="17"/>
                <w:szCs w:val="17"/>
                <w:color w:val="auto"/>
              </w:rPr>
            </w:pPr>
          </w:p>
        </w:tc>
        <w:tc>
          <w:tcPr>
            <w:tcW w:w="3520" w:type="dxa"/>
            <w:vAlign w:val="bottom"/>
            <w:gridSpan w:val="7"/>
          </w:tcPr>
          <w:p>
            <w:pPr>
              <w:ind w:left="380"/>
              <w:spacing w:after="0" w:line="202" w:lineRule="exact"/>
              <w:rPr>
                <w:sz w:val="20"/>
                <w:szCs w:val="20"/>
                <w:color w:val="auto"/>
              </w:rPr>
            </w:pPr>
            <w:r>
              <w:rPr>
                <w:rFonts w:ascii="Courier New" w:cs="Courier New" w:eastAsia="Courier New" w:hAnsi="Courier New"/>
                <w:sz w:val="18"/>
                <w:szCs w:val="18"/>
                <w:color w:val="auto"/>
                <w:w w:val="96"/>
              </w:rPr>
              <w:t>December 27, 1993, file number</w:t>
            </w:r>
          </w:p>
        </w:tc>
        <w:tc>
          <w:tcPr>
            <w:tcW w:w="390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rPr>
              <w:t>000-21898)</w:t>
            </w: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10.06</w:t>
            </w: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rPr>
              <w:t>Assignment  of  Lease  dated  November  2,  1993  between</w:t>
            </w:r>
          </w:p>
        </w:tc>
      </w:tr>
      <w:tr>
        <w:trPr>
          <w:trHeight w:val="202"/>
        </w:trPr>
        <w:tc>
          <w:tcPr>
            <w:tcW w:w="1000" w:type="dxa"/>
            <w:vAlign w:val="bottom"/>
          </w:tcPr>
          <w:p>
            <w:pPr>
              <w:spacing w:after="0"/>
              <w:rPr>
                <w:sz w:val="17"/>
                <w:szCs w:val="17"/>
                <w:color w:val="auto"/>
              </w:rPr>
            </w:pP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rPr>
              <w:t>Powerhouse  Computer  Sales,  Ltd.  and  the  Company.*</w:t>
            </w: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10.07</w:t>
            </w:r>
          </w:p>
        </w:tc>
        <w:tc>
          <w:tcPr>
            <w:tcW w:w="2480" w:type="dxa"/>
            <w:vAlign w:val="bottom"/>
            <w:gridSpan w:val="4"/>
          </w:tcPr>
          <w:p>
            <w:pPr>
              <w:ind w:left="380"/>
              <w:spacing w:after="0" w:line="202" w:lineRule="exact"/>
              <w:rPr>
                <w:sz w:val="20"/>
                <w:szCs w:val="20"/>
                <w:color w:val="auto"/>
              </w:rPr>
            </w:pPr>
            <w:r>
              <w:rPr>
                <w:rFonts w:ascii="Courier New" w:cs="Courier New" w:eastAsia="Courier New" w:hAnsi="Courier New"/>
                <w:sz w:val="18"/>
                <w:szCs w:val="18"/>
                <w:color w:val="auto"/>
                <w:w w:val="96"/>
              </w:rPr>
              <w:t>Employment Agreement</w:t>
            </w:r>
          </w:p>
        </w:tc>
        <w:tc>
          <w:tcPr>
            <w:tcW w:w="4940" w:type="dxa"/>
            <w:vAlign w:val="bottom"/>
            <w:gridSpan w:val="5"/>
          </w:tcPr>
          <w:p>
            <w:pPr>
              <w:ind w:left="100"/>
              <w:spacing w:after="0" w:line="202" w:lineRule="exact"/>
              <w:rPr>
                <w:sz w:val="20"/>
                <w:szCs w:val="20"/>
                <w:color w:val="auto"/>
              </w:rPr>
            </w:pPr>
            <w:r>
              <w:rPr>
                <w:rFonts w:ascii="Courier New" w:cs="Courier New" w:eastAsia="Courier New" w:hAnsi="Courier New"/>
                <w:sz w:val="18"/>
                <w:szCs w:val="18"/>
                <w:color w:val="auto"/>
              </w:rPr>
              <w:t>dated as of October 1, 1993 between the</w:t>
            </w:r>
          </w:p>
        </w:tc>
      </w:tr>
      <w:tr>
        <w:trPr>
          <w:trHeight w:val="202"/>
        </w:trPr>
        <w:tc>
          <w:tcPr>
            <w:tcW w:w="1000" w:type="dxa"/>
            <w:vAlign w:val="bottom"/>
          </w:tcPr>
          <w:p>
            <w:pPr>
              <w:spacing w:after="0"/>
              <w:rPr>
                <w:sz w:val="17"/>
                <w:szCs w:val="17"/>
                <w:color w:val="auto"/>
              </w:rPr>
            </w:pPr>
          </w:p>
        </w:tc>
        <w:tc>
          <w:tcPr>
            <w:tcW w:w="1320" w:type="dxa"/>
            <w:vAlign w:val="bottom"/>
          </w:tcPr>
          <w:p>
            <w:pPr>
              <w:ind w:left="380"/>
              <w:spacing w:after="0" w:line="202" w:lineRule="exact"/>
              <w:rPr>
                <w:sz w:val="20"/>
                <w:szCs w:val="20"/>
                <w:color w:val="auto"/>
              </w:rPr>
            </w:pPr>
            <w:r>
              <w:rPr>
                <w:rFonts w:ascii="Courier New" w:cs="Courier New" w:eastAsia="Courier New" w:hAnsi="Courier New"/>
                <w:sz w:val="18"/>
                <w:szCs w:val="18"/>
                <w:color w:val="auto"/>
              </w:rPr>
              <w:t>Company</w:t>
            </w:r>
          </w:p>
        </w:tc>
        <w:tc>
          <w:tcPr>
            <w:tcW w:w="520" w:type="dxa"/>
            <w:vAlign w:val="bottom"/>
          </w:tcPr>
          <w:p>
            <w:pPr>
              <w:spacing w:after="0" w:line="202" w:lineRule="exact"/>
              <w:rPr>
                <w:sz w:val="20"/>
                <w:szCs w:val="20"/>
                <w:color w:val="auto"/>
              </w:rPr>
            </w:pPr>
            <w:r>
              <w:rPr>
                <w:rFonts w:ascii="Courier New" w:cs="Courier New" w:eastAsia="Courier New" w:hAnsi="Courier New"/>
                <w:sz w:val="18"/>
                <w:szCs w:val="18"/>
                <w:color w:val="auto"/>
              </w:rPr>
              <w:t>and</w:t>
            </w:r>
          </w:p>
        </w:tc>
        <w:tc>
          <w:tcPr>
            <w:tcW w:w="6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James</w:t>
            </w:r>
          </w:p>
        </w:tc>
        <w:tc>
          <w:tcPr>
            <w:tcW w:w="46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R.</w:t>
            </w:r>
          </w:p>
        </w:tc>
        <w:tc>
          <w:tcPr>
            <w:tcW w:w="58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rPr>
              <w:t>Cink</w:t>
            </w:r>
          </w:p>
        </w:tc>
        <w:tc>
          <w:tcPr>
            <w:tcW w:w="390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rPr>
              <w:t>(Form  10-QSB dated</w:t>
            </w:r>
          </w:p>
        </w:tc>
      </w:tr>
      <w:tr>
        <w:trPr>
          <w:trHeight w:val="202"/>
        </w:trPr>
        <w:tc>
          <w:tcPr>
            <w:tcW w:w="1000" w:type="dxa"/>
            <w:vAlign w:val="bottom"/>
          </w:tcPr>
          <w:p>
            <w:pPr>
              <w:spacing w:after="0"/>
              <w:rPr>
                <w:sz w:val="17"/>
                <w:szCs w:val="17"/>
                <w:color w:val="auto"/>
              </w:rPr>
            </w:pPr>
          </w:p>
        </w:tc>
        <w:tc>
          <w:tcPr>
            <w:tcW w:w="4580" w:type="dxa"/>
            <w:vAlign w:val="bottom"/>
            <w:gridSpan w:val="8"/>
          </w:tcPr>
          <w:p>
            <w:pPr>
              <w:ind w:left="380"/>
              <w:spacing w:after="0" w:line="202" w:lineRule="exact"/>
              <w:rPr>
                <w:sz w:val="20"/>
                <w:szCs w:val="20"/>
                <w:color w:val="auto"/>
              </w:rPr>
            </w:pPr>
            <w:r>
              <w:rPr>
                <w:rFonts w:ascii="Courier New" w:cs="Courier New" w:eastAsia="Courier New" w:hAnsi="Courier New"/>
                <w:sz w:val="18"/>
                <w:szCs w:val="18"/>
                <w:color w:val="auto"/>
                <w:w w:val="96"/>
              </w:rPr>
              <w:t>February 8, 1994, file number 000-21898)</w:t>
            </w:r>
          </w:p>
        </w:tc>
        <w:tc>
          <w:tcPr>
            <w:tcW w:w="2840" w:type="dxa"/>
            <w:vAlign w:val="bottom"/>
          </w:tcPr>
          <w:p>
            <w:pPr>
              <w:spacing w:after="0"/>
              <w:rPr>
                <w:sz w:val="17"/>
                <w:szCs w:val="17"/>
                <w:color w:val="auto"/>
              </w:rPr>
            </w:pP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10.08</w:t>
            </w:r>
          </w:p>
        </w:tc>
        <w:tc>
          <w:tcPr>
            <w:tcW w:w="1320" w:type="dxa"/>
            <w:vAlign w:val="bottom"/>
          </w:tcPr>
          <w:p>
            <w:pPr>
              <w:ind w:left="380"/>
              <w:spacing w:after="0" w:line="202" w:lineRule="exact"/>
              <w:rPr>
                <w:sz w:val="20"/>
                <w:szCs w:val="20"/>
                <w:color w:val="auto"/>
              </w:rPr>
            </w:pPr>
            <w:r>
              <w:rPr>
                <w:rFonts w:ascii="Courier New" w:cs="Courier New" w:eastAsia="Courier New" w:hAnsi="Courier New"/>
                <w:sz w:val="18"/>
                <w:szCs w:val="18"/>
                <w:color w:val="auto"/>
              </w:rPr>
              <w:t>Nations</w:t>
            </w:r>
          </w:p>
        </w:tc>
        <w:tc>
          <w:tcPr>
            <w:tcW w:w="8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Credit</w:t>
            </w:r>
          </w:p>
        </w:tc>
        <w:tc>
          <w:tcPr>
            <w:tcW w:w="7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Dealer</w:t>
            </w:r>
          </w:p>
        </w:tc>
        <w:tc>
          <w:tcPr>
            <w:tcW w:w="1640" w:type="dxa"/>
            <w:vAlign w:val="bottom"/>
            <w:gridSpan w:val="3"/>
          </w:tcPr>
          <w:p>
            <w:pPr>
              <w:ind w:left="60"/>
              <w:spacing w:after="0" w:line="202" w:lineRule="exact"/>
              <w:rPr>
                <w:sz w:val="20"/>
                <w:szCs w:val="20"/>
                <w:color w:val="auto"/>
              </w:rPr>
            </w:pPr>
            <w:r>
              <w:rPr>
                <w:rFonts w:ascii="Courier New" w:cs="Courier New" w:eastAsia="Courier New" w:hAnsi="Courier New"/>
                <w:sz w:val="18"/>
                <w:szCs w:val="18"/>
                <w:color w:val="auto"/>
              </w:rPr>
              <w:t>Agreement*</w:t>
            </w:r>
          </w:p>
        </w:tc>
        <w:tc>
          <w:tcPr>
            <w:tcW w:w="2840" w:type="dxa"/>
            <w:vAlign w:val="bottom"/>
          </w:tcPr>
          <w:p>
            <w:pPr>
              <w:spacing w:after="0"/>
              <w:rPr>
                <w:sz w:val="17"/>
                <w:szCs w:val="17"/>
                <w:color w:val="auto"/>
              </w:rPr>
            </w:pP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10.09</w:t>
            </w:r>
          </w:p>
        </w:tc>
        <w:tc>
          <w:tcPr>
            <w:tcW w:w="7420" w:type="dxa"/>
            <w:vAlign w:val="bottom"/>
            <w:gridSpan w:val="9"/>
          </w:tcPr>
          <w:p>
            <w:pPr>
              <w:ind w:left="380"/>
              <w:spacing w:after="0" w:line="202" w:lineRule="exact"/>
              <w:rPr>
                <w:sz w:val="20"/>
                <w:szCs w:val="20"/>
                <w:color w:val="auto"/>
              </w:rPr>
            </w:pPr>
            <w:r>
              <w:rPr>
                <w:rFonts w:ascii="Courier New" w:cs="Courier New" w:eastAsia="Courier New" w:hAnsi="Courier New"/>
                <w:sz w:val="18"/>
                <w:szCs w:val="18"/>
                <w:color w:val="auto"/>
                <w:w w:val="97"/>
              </w:rPr>
              <w:t>"Term  Sheet" between the Company and TPR outlining terms of "Offer</w:t>
            </w:r>
          </w:p>
        </w:tc>
      </w:tr>
      <w:tr>
        <w:trPr>
          <w:trHeight w:val="202"/>
        </w:trPr>
        <w:tc>
          <w:tcPr>
            <w:tcW w:w="1000" w:type="dxa"/>
            <w:vAlign w:val="bottom"/>
          </w:tcPr>
          <w:p>
            <w:pPr>
              <w:spacing w:after="0"/>
              <w:rPr>
                <w:sz w:val="17"/>
                <w:szCs w:val="17"/>
                <w:color w:val="auto"/>
              </w:rPr>
            </w:pPr>
          </w:p>
        </w:tc>
        <w:tc>
          <w:tcPr>
            <w:tcW w:w="1840" w:type="dxa"/>
            <w:vAlign w:val="bottom"/>
            <w:gridSpan w:val="2"/>
          </w:tcPr>
          <w:p>
            <w:pPr>
              <w:ind w:left="380"/>
              <w:spacing w:after="0" w:line="202" w:lineRule="exact"/>
              <w:rPr>
                <w:sz w:val="20"/>
                <w:szCs w:val="20"/>
                <w:color w:val="auto"/>
              </w:rPr>
            </w:pPr>
            <w:r>
              <w:rPr>
                <w:rFonts w:ascii="Courier New" w:cs="Courier New" w:eastAsia="Courier New" w:hAnsi="Courier New"/>
                <w:sz w:val="18"/>
                <w:szCs w:val="18"/>
                <w:color w:val="auto"/>
              </w:rPr>
              <w:t>to Creditors"</w:t>
            </w:r>
          </w:p>
        </w:tc>
        <w:tc>
          <w:tcPr>
            <w:tcW w:w="6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filed</w:t>
            </w:r>
          </w:p>
        </w:tc>
        <w:tc>
          <w:tcPr>
            <w:tcW w:w="2100" w:type="dxa"/>
            <w:vAlign w:val="bottom"/>
            <w:gridSpan w:val="4"/>
          </w:tcPr>
          <w:p>
            <w:pPr>
              <w:ind w:left="200"/>
              <w:spacing w:after="0" w:line="202" w:lineRule="exact"/>
              <w:rPr>
                <w:sz w:val="20"/>
                <w:szCs w:val="20"/>
                <w:color w:val="auto"/>
              </w:rPr>
            </w:pPr>
            <w:r>
              <w:rPr>
                <w:rFonts w:ascii="Courier New" w:cs="Courier New" w:eastAsia="Courier New" w:hAnsi="Courier New"/>
                <w:sz w:val="18"/>
                <w:szCs w:val="18"/>
                <w:color w:val="auto"/>
              </w:rPr>
              <w:t>herewith.</w:t>
            </w:r>
          </w:p>
        </w:tc>
        <w:tc>
          <w:tcPr>
            <w:tcW w:w="2840" w:type="dxa"/>
            <w:vAlign w:val="bottom"/>
          </w:tcPr>
          <w:p>
            <w:pPr>
              <w:spacing w:after="0"/>
              <w:rPr>
                <w:sz w:val="17"/>
                <w:szCs w:val="17"/>
                <w:color w:val="auto"/>
              </w:rPr>
            </w:pPr>
          </w:p>
        </w:tc>
      </w:tr>
      <w:tr>
        <w:trPr>
          <w:trHeight w:val="202"/>
        </w:trPr>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27.1</w:t>
            </w:r>
          </w:p>
        </w:tc>
        <w:tc>
          <w:tcPr>
            <w:tcW w:w="1320" w:type="dxa"/>
            <w:vAlign w:val="bottom"/>
          </w:tcPr>
          <w:p>
            <w:pPr>
              <w:ind w:left="380"/>
              <w:spacing w:after="0" w:line="202" w:lineRule="exact"/>
              <w:rPr>
                <w:sz w:val="20"/>
                <w:szCs w:val="20"/>
                <w:color w:val="auto"/>
              </w:rPr>
            </w:pPr>
            <w:r>
              <w:rPr>
                <w:rFonts w:ascii="Courier New" w:cs="Courier New" w:eastAsia="Courier New" w:hAnsi="Courier New"/>
                <w:sz w:val="18"/>
                <w:szCs w:val="18"/>
                <w:color w:val="auto"/>
                <w:w w:val="94"/>
              </w:rPr>
              <w:t>Financial</w:t>
            </w:r>
          </w:p>
        </w:tc>
        <w:tc>
          <w:tcPr>
            <w:tcW w:w="84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Data</w:t>
            </w:r>
          </w:p>
        </w:tc>
        <w:tc>
          <w:tcPr>
            <w:tcW w:w="116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rPr>
              <w:t>Schedule.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4"/>
        </w:trPr>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The  exhibits  marked</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with</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w w:val="92"/>
              </w:rPr>
              <w:t>an</w:t>
            </w:r>
          </w:p>
        </w:tc>
        <w:tc>
          <w:tcPr>
            <w:tcW w:w="2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asterisk</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have  been  filed  with</w:t>
            </w:r>
          </w:p>
        </w:tc>
      </w:tr>
      <w:tr>
        <w:trPr>
          <w:trHeight w:val="202"/>
        </w:trPr>
        <w:tc>
          <w:tcPr>
            <w:tcW w:w="1000" w:type="dxa"/>
            <w:vAlign w:val="bottom"/>
          </w:tcPr>
          <w:p>
            <w:pPr>
              <w:spacing w:after="0"/>
              <w:rPr>
                <w:sz w:val="17"/>
                <w:szCs w:val="17"/>
                <w:color w:val="auto"/>
              </w:rPr>
            </w:pPr>
          </w:p>
        </w:tc>
        <w:tc>
          <w:tcPr>
            <w:tcW w:w="2480" w:type="dxa"/>
            <w:vAlign w:val="bottom"/>
            <w:gridSpan w:val="4"/>
          </w:tcPr>
          <w:p>
            <w:pPr>
              <w:jc w:val="right"/>
              <w:ind w:right="32"/>
              <w:spacing w:after="0" w:line="202" w:lineRule="exact"/>
              <w:rPr>
                <w:sz w:val="20"/>
                <w:szCs w:val="20"/>
                <w:color w:val="auto"/>
              </w:rPr>
            </w:pPr>
            <w:r>
              <w:rPr>
                <w:rFonts w:ascii="Courier New" w:cs="Courier New" w:eastAsia="Courier New" w:hAnsi="Courier New"/>
                <w:sz w:val="18"/>
                <w:szCs w:val="18"/>
                <w:color w:val="auto"/>
                <w:w w:val="98"/>
              </w:rPr>
              <w:t>Form SB-2 registration</w:t>
            </w:r>
          </w:p>
        </w:tc>
        <w:tc>
          <w:tcPr>
            <w:tcW w:w="4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No.</w:t>
            </w:r>
          </w:p>
        </w:tc>
        <w:tc>
          <w:tcPr>
            <w:tcW w:w="1640" w:type="dxa"/>
            <w:vAlign w:val="bottom"/>
            <w:gridSpan w:val="3"/>
          </w:tcPr>
          <w:p>
            <w:pPr>
              <w:ind w:left="160"/>
              <w:spacing w:after="0" w:line="202" w:lineRule="exact"/>
              <w:rPr>
                <w:sz w:val="20"/>
                <w:szCs w:val="20"/>
                <w:color w:val="auto"/>
              </w:rPr>
            </w:pPr>
            <w:r>
              <w:rPr>
                <w:rFonts w:ascii="Courier New" w:cs="Courier New" w:eastAsia="Courier New" w:hAnsi="Courier New"/>
                <w:sz w:val="18"/>
                <w:szCs w:val="18"/>
                <w:color w:val="auto"/>
              </w:rPr>
              <w:t>33-77240.</w:t>
            </w:r>
          </w:p>
        </w:tc>
        <w:tc>
          <w:tcPr>
            <w:tcW w:w="2840" w:type="dxa"/>
            <w:vAlign w:val="bottom"/>
          </w:tcPr>
          <w:p>
            <w:pPr>
              <w:spacing w:after="0"/>
              <w:rPr>
                <w:sz w:val="17"/>
                <w:szCs w:val="17"/>
                <w:color w:val="auto"/>
              </w:rPr>
            </w:pPr>
          </w:p>
        </w:tc>
      </w:tr>
    </w:tbl>
    <w:p>
      <w:pPr>
        <w:spacing w:after="0" w:line="206" w:lineRule="exact"/>
        <w:rPr>
          <w:sz w:val="20"/>
          <w:szCs w:val="20"/>
          <w:color w:val="auto"/>
        </w:rPr>
      </w:pPr>
    </w:p>
    <w:p>
      <w:pPr>
        <w:ind w:left="1380" w:right="6459" w:hanging="742"/>
        <w:spacing w:after="0" w:line="235"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139"/>
          </w:cols>
          <w:pgMar w:left="320" w:top="513" w:right="1440" w:bottom="1440" w:gutter="0" w:footer="0" w:header="0"/>
        </w:sectPr>
      </w:pPr>
    </w:p>
    <w:bookmarkStart w:id="12" w:name="page13"/>
    <w:bookmarkEnd w:id="12"/>
    <w:p>
      <w:pPr>
        <w:ind w:left="368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139"/>
          </w:cols>
          <w:pgMar w:left="320" w:top="519" w:right="1440" w:bottom="1440" w:gutter="0" w:footer="0" w:header="0"/>
        </w:sectPr>
      </w:pPr>
    </w:p>
    <w:p>
      <w:pPr>
        <w:spacing w:after="0" w:line="223" w:lineRule="exact"/>
        <w:rPr>
          <w:sz w:val="20"/>
          <w:szCs w:val="20"/>
          <w:color w:val="auto"/>
        </w:rPr>
      </w:pPr>
    </w:p>
    <w:p>
      <w:pPr>
        <w:jc w:val="both"/>
        <w:ind w:firstLine="525"/>
        <w:spacing w:after="0" w:line="236" w:lineRule="auto"/>
        <w:rPr>
          <w:sz w:val="20"/>
          <w:szCs w:val="20"/>
          <w:color w:val="auto"/>
        </w:rPr>
      </w:pPr>
      <w:r>
        <w:rPr>
          <w:rFonts w:ascii="Courier New" w:cs="Courier New" w:eastAsia="Courier New" w:hAnsi="Courier New"/>
          <w:sz w:val="18"/>
          <w:szCs w:val="18"/>
          <w:color w:val="auto"/>
        </w:rPr>
        <w:t>Pursuant Exchange Act behalf by the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37" w:lineRule="auto"/>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1719" w:firstLine="210"/>
        <w:spacing w:after="0" w:line="236" w:lineRule="auto"/>
        <w:rPr>
          <w:sz w:val="20"/>
          <w:szCs w:val="20"/>
          <w:color w:val="auto"/>
        </w:rPr>
      </w:pPr>
      <w:r>
        <w:rPr>
          <w:rFonts w:ascii="Courier New" w:cs="Courier New" w:eastAsia="Courier New" w:hAnsi="Courier New"/>
          <w:sz w:val="18"/>
          <w:szCs w:val="18"/>
          <w:color w:val="auto"/>
        </w:rPr>
        <w:t>the requirements of Section 13 or 15(d) of the Securities 1934, the Issuer has caused this report to be signed on its undersigned, thereunto duly authorized.</w:t>
      </w:r>
    </w:p>
    <w:p>
      <w:pPr>
        <w:spacing w:after="0" w:line="200" w:lineRule="exact"/>
        <w:rPr>
          <w:sz w:val="20"/>
          <w:szCs w:val="20"/>
          <w:color w:val="auto"/>
        </w:rPr>
      </w:pPr>
    </w:p>
    <w:p>
      <w:pPr>
        <w:sectPr>
          <w:pgSz w:w="11900" w:h="16838" w:orient="portrait"/>
          <w:cols w:equalWidth="0" w:num="3">
            <w:col w:w="1580" w:space="0"/>
            <w:col w:w="220" w:space="0"/>
            <w:col w:w="8339"/>
          </w:cols>
          <w:pgMar w:left="320" w:top="519"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Dated: January 6,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INTERACTIVE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INC.</w:t>
      </w:r>
    </w:p>
    <w:p>
      <w:pPr>
        <w:spacing w:after="0" w:line="200" w:lineRule="exact"/>
        <w:rPr>
          <w:sz w:val="20"/>
          <w:szCs w:val="20"/>
          <w:color w:val="auto"/>
        </w:rPr>
      </w:pPr>
    </w:p>
    <w:p>
      <w:pPr>
        <w:sectPr>
          <w:pgSz w:w="11900" w:h="16838" w:orient="portrait"/>
          <w:cols w:equalWidth="0" w:num="3">
            <w:col w:w="3600" w:space="720"/>
            <w:col w:w="1160" w:space="200"/>
            <w:col w:w="4459"/>
          </w:cols>
          <w:pgMar w:left="320" w:top="519" w:right="1440" w:bottom="1440" w:gutter="0" w:footer="0" w:header="0"/>
          <w:type w:val="continuous"/>
        </w:sectPr>
      </w:pPr>
    </w:p>
    <w:p>
      <w:pPr>
        <w:spacing w:after="0" w:line="22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Stahl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Robert</w:t>
      </w:r>
      <w:r>
        <w:rPr>
          <w:sz w:val="20"/>
          <w:szCs w:val="20"/>
          <w:color w:val="auto"/>
        </w:rPr>
        <w:tab/>
      </w:r>
      <w:r>
        <w:rPr>
          <w:rFonts w:ascii="Courier New" w:cs="Courier New" w:eastAsia="Courier New" w:hAnsi="Courier New"/>
          <w:sz w:val="16"/>
          <w:szCs w:val="16"/>
          <w:color w:val="auto"/>
        </w:rPr>
        <w:t>Stahl</w:t>
      </w:r>
    </w:p>
    <w:p>
      <w:pPr>
        <w:ind w:left="2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640" w:space="200"/>
            <w:col w:w="5299"/>
          </w:cols>
          <w:pgMar w:left="320" w:top="519" w:right="1440" w:bottom="1440" w:gutter="0" w:footer="0" w:header="0"/>
          <w:type w:val="continuous"/>
        </w:sect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Gerard L. Kappenman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Gerard L. Kappenman</w:t>
      </w:r>
    </w:p>
    <w:p>
      <w:pPr>
        <w:ind w:left="22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ectPr>
          <w:pgSz w:w="11900" w:h="16838" w:orient="portrait"/>
          <w:cols w:equalWidth="0" w:num="2">
            <w:col w:w="4640" w:space="200"/>
            <w:col w:w="5299"/>
          </w:cols>
          <w:pgMar w:left="320" w:top="519" w:right="1440" w:bottom="1440" w:gutter="0" w:footer="0" w:header="0"/>
          <w:type w:val="continuous"/>
        </w:sectPr>
      </w:pPr>
    </w:p>
    <w:p>
      <w:pPr>
        <w:spacing w:after="0" w:line="1" w:lineRule="exact"/>
        <w:rPr>
          <w:sz w:val="20"/>
          <w:szCs w:val="20"/>
          <w:color w:val="auto"/>
        </w:rPr>
      </w:pPr>
    </w:p>
    <w:p>
      <w:pPr>
        <w:ind w:left="540"/>
        <w:spacing w:after="0"/>
        <w:tabs>
          <w:tab w:leader="none" w:pos="1560" w:val="left"/>
          <w:tab w:leader="none" w:pos="1980" w:val="left"/>
        </w:tabs>
        <w:rPr>
          <w:sz w:val="20"/>
          <w:szCs w:val="20"/>
          <w:color w:val="auto"/>
        </w:rPr>
      </w:pPr>
      <w:r>
        <w:rPr>
          <w:rFonts w:ascii="Courier New" w:cs="Courier New" w:eastAsia="Courier New" w:hAnsi="Courier New"/>
          <w:sz w:val="18"/>
          <w:szCs w:val="18"/>
          <w:color w:val="auto"/>
        </w:rPr>
        <w:t>Pursuant</w:t>
        <w:tab/>
        <w:t>to</w:t>
      </w:r>
      <w:r>
        <w:rPr>
          <w:sz w:val="20"/>
          <w:szCs w:val="20"/>
          <w:color w:val="auto"/>
        </w:rPr>
        <w:tab/>
      </w:r>
      <w:r>
        <w:rPr>
          <w:rFonts w:ascii="Courier New" w:cs="Courier New" w:eastAsia="Courier New" w:hAnsi="Courier New"/>
          <w:sz w:val="16"/>
          <w:szCs w:val="16"/>
          <w:color w:val="auto"/>
        </w:rPr>
        <w:t>the requirements of the Securities Exchange Act of 1934, this</w:t>
      </w:r>
    </w:p>
    <w:p>
      <w:pPr>
        <w:sectPr>
          <w:pgSz w:w="11900" w:h="16838" w:orient="portrait"/>
          <w:cols w:equalWidth="0" w:num="1">
            <w:col w:w="10139"/>
          </w:cols>
          <w:pgMar w:left="320" w:top="519" w:right="1440" w:bottom="1440" w:gutter="0" w:footer="0" w:header="0"/>
          <w:type w:val="continuous"/>
        </w:sectPr>
      </w:pPr>
    </w:p>
    <w:p>
      <w:pPr>
        <w:spacing w:after="0" w:line="4" w:lineRule="exact"/>
        <w:rPr>
          <w:sz w:val="20"/>
          <w:szCs w:val="20"/>
          <w:color w:val="auto"/>
        </w:rPr>
      </w:pPr>
    </w:p>
    <w:p>
      <w:pPr>
        <w:ind w:right="1719"/>
        <w:spacing w:after="0" w:line="235" w:lineRule="auto"/>
        <w:rPr>
          <w:sz w:val="20"/>
          <w:szCs w:val="20"/>
          <w:color w:val="auto"/>
        </w:rPr>
      </w:pPr>
      <w:r>
        <w:rPr>
          <w:rFonts w:ascii="Courier New" w:cs="Courier New" w:eastAsia="Courier New" w:hAnsi="Courier New"/>
          <w:sz w:val="18"/>
          <w:szCs w:val="18"/>
          <w:color w:val="auto"/>
        </w:rPr>
        <w:t>report has been signed by the following persons on behalf of the Company, in the capacities, and on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4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rPr>
              <w:t>TITLES</w:t>
            </w:r>
          </w:p>
        </w:tc>
        <w:tc>
          <w:tcPr>
            <w:tcW w:w="194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DATE</w:t>
            </w:r>
          </w:p>
        </w:tc>
        <w:tc>
          <w:tcPr>
            <w:tcW w:w="740" w:type="dxa"/>
            <w:vAlign w:val="bottom"/>
          </w:tcPr>
          <w:p>
            <w:pPr>
              <w:spacing w:after="0"/>
              <w:rPr>
                <w:sz w:val="17"/>
                <w:szCs w:val="17"/>
                <w:color w:val="auto"/>
              </w:rPr>
            </w:pPr>
          </w:p>
        </w:tc>
      </w:tr>
      <w:tr>
        <w:trPr>
          <w:trHeight w:val="606"/>
        </w:trPr>
        <w:tc>
          <w:tcPr>
            <w:tcW w:w="2940" w:type="dxa"/>
            <w:vAlign w:val="bottom"/>
          </w:tcPr>
          <w:p>
            <w:pPr>
              <w:spacing w:after="0"/>
              <w:rPr>
                <w:sz w:val="20"/>
                <w:szCs w:val="20"/>
                <w:color w:val="auto"/>
              </w:rPr>
            </w:pPr>
            <w:r>
              <w:rPr>
                <w:rFonts w:ascii="Courier New" w:cs="Courier New" w:eastAsia="Courier New" w:hAnsi="Courier New"/>
                <w:sz w:val="18"/>
                <w:szCs w:val="18"/>
                <w:color w:val="auto"/>
              </w:rPr>
              <w:t>/s/ Robert Stahl</w:t>
            </w:r>
          </w:p>
        </w:tc>
        <w:tc>
          <w:tcPr>
            <w:tcW w:w="2060" w:type="dxa"/>
            <w:vAlign w:val="bottom"/>
          </w:tcPr>
          <w:p>
            <w:pPr>
              <w:spacing w:after="0"/>
              <w:rPr>
                <w:sz w:val="24"/>
                <w:szCs w:val="24"/>
                <w:color w:val="auto"/>
              </w:rPr>
            </w:pPr>
          </w:p>
        </w:tc>
        <w:tc>
          <w:tcPr>
            <w:tcW w:w="1520" w:type="dxa"/>
            <w:vAlign w:val="bottom"/>
          </w:tcPr>
          <w:p>
            <w:pPr>
              <w:ind w:left="680"/>
              <w:spacing w:after="0"/>
              <w:rPr>
                <w:sz w:val="20"/>
                <w:szCs w:val="20"/>
                <w:color w:val="auto"/>
              </w:rPr>
            </w:pPr>
            <w:r>
              <w:rPr>
                <w:rFonts w:ascii="Courier New" w:cs="Courier New" w:eastAsia="Courier New" w:hAnsi="Courier New"/>
                <w:sz w:val="18"/>
                <w:szCs w:val="18"/>
                <w:color w:val="auto"/>
              </w:rPr>
              <w:t>January</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spacing w:after="0"/>
              <w:rPr>
                <w:sz w:val="17"/>
                <w:szCs w:val="17"/>
                <w:color w:val="auto"/>
              </w:rPr>
            </w:pPr>
          </w:p>
        </w:tc>
        <w:tc>
          <w:tcPr>
            <w:tcW w:w="268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Robert Stahl</w:t>
            </w:r>
          </w:p>
        </w:tc>
        <w:tc>
          <w:tcPr>
            <w:tcW w:w="206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President</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6"/>
        </w:trPr>
        <w:tc>
          <w:tcPr>
            <w:tcW w:w="2940" w:type="dxa"/>
            <w:vAlign w:val="bottom"/>
          </w:tcPr>
          <w:p>
            <w:pPr>
              <w:spacing w:after="0"/>
              <w:rPr>
                <w:sz w:val="20"/>
                <w:szCs w:val="20"/>
                <w:color w:val="auto"/>
              </w:rPr>
            </w:pPr>
            <w:r>
              <w:rPr>
                <w:rFonts w:ascii="Courier New" w:cs="Courier New" w:eastAsia="Courier New" w:hAnsi="Courier New"/>
                <w:sz w:val="18"/>
                <w:szCs w:val="18"/>
                <w:color w:val="auto"/>
              </w:rPr>
              <w:t>/s/ Gerard L. Kappenman</w:t>
            </w: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1520" w:type="dxa"/>
            <w:vAlign w:val="bottom"/>
          </w:tcPr>
          <w:p>
            <w:pPr>
              <w:ind w:left="680"/>
              <w:spacing w:after="0"/>
              <w:rPr>
                <w:sz w:val="20"/>
                <w:szCs w:val="20"/>
                <w:color w:val="auto"/>
              </w:rPr>
            </w:pPr>
            <w:r>
              <w:rPr>
                <w:rFonts w:ascii="Courier New" w:cs="Courier New" w:eastAsia="Courier New" w:hAnsi="Courier New"/>
                <w:sz w:val="18"/>
                <w:szCs w:val="18"/>
                <w:color w:val="auto"/>
              </w:rPr>
              <w:t>January</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spacing w:after="0"/>
              <w:rPr>
                <w:sz w:val="17"/>
                <w:szCs w:val="17"/>
                <w:color w:val="auto"/>
              </w:rPr>
            </w:pPr>
          </w:p>
        </w:tc>
        <w:tc>
          <w:tcPr>
            <w:tcW w:w="268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Gerard L. Kappenman</w:t>
            </w:r>
          </w:p>
        </w:tc>
        <w:tc>
          <w:tcPr>
            <w:tcW w:w="20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Director</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6"/>
        </w:trPr>
        <w:tc>
          <w:tcPr>
            <w:tcW w:w="2940" w:type="dxa"/>
            <w:vAlign w:val="bottom"/>
          </w:tcPr>
          <w:p>
            <w:pPr>
              <w:spacing w:after="0"/>
              <w:rPr>
                <w:sz w:val="20"/>
                <w:szCs w:val="20"/>
                <w:color w:val="auto"/>
              </w:rPr>
            </w:pPr>
            <w:r>
              <w:rPr>
                <w:rFonts w:ascii="Courier New" w:cs="Courier New" w:eastAsia="Courier New" w:hAnsi="Courier New"/>
                <w:sz w:val="18"/>
                <w:szCs w:val="18"/>
                <w:color w:val="auto"/>
              </w:rPr>
              <w:t>/s/ William J. Hanson</w:t>
            </w: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520" w:type="dxa"/>
            <w:vAlign w:val="bottom"/>
          </w:tcPr>
          <w:p>
            <w:pPr>
              <w:ind w:left="680"/>
              <w:spacing w:after="0"/>
              <w:rPr>
                <w:sz w:val="20"/>
                <w:szCs w:val="20"/>
                <w:color w:val="auto"/>
              </w:rPr>
            </w:pPr>
            <w:r>
              <w:rPr>
                <w:rFonts w:ascii="Courier New" w:cs="Courier New" w:eastAsia="Courier New" w:hAnsi="Courier New"/>
                <w:sz w:val="18"/>
                <w:szCs w:val="18"/>
                <w:color w:val="auto"/>
              </w:rPr>
              <w:t>January</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spacing w:after="0"/>
              <w:rPr>
                <w:sz w:val="17"/>
                <w:szCs w:val="17"/>
                <w:color w:val="auto"/>
              </w:rPr>
            </w:pPr>
          </w:p>
        </w:tc>
        <w:tc>
          <w:tcPr>
            <w:tcW w:w="268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William  J.  Hanson</w:t>
            </w:r>
          </w:p>
        </w:tc>
        <w:tc>
          <w:tcPr>
            <w:tcW w:w="2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6"/>
        </w:trPr>
        <w:tc>
          <w:tcPr>
            <w:tcW w:w="2940" w:type="dxa"/>
            <w:vAlign w:val="bottom"/>
          </w:tcPr>
          <w:p>
            <w:pPr>
              <w:spacing w:after="0"/>
              <w:rPr>
                <w:sz w:val="20"/>
                <w:szCs w:val="20"/>
                <w:color w:val="auto"/>
              </w:rPr>
            </w:pPr>
            <w:r>
              <w:rPr>
                <w:rFonts w:ascii="Courier New" w:cs="Courier New" w:eastAsia="Courier New" w:hAnsi="Courier New"/>
                <w:sz w:val="18"/>
                <w:szCs w:val="18"/>
                <w:color w:val="auto"/>
              </w:rPr>
              <w:t>/s/ Russell A. Pohl</w:t>
            </w: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520" w:type="dxa"/>
            <w:vAlign w:val="bottom"/>
          </w:tcPr>
          <w:p>
            <w:pPr>
              <w:ind w:left="680"/>
              <w:spacing w:after="0"/>
              <w:rPr>
                <w:sz w:val="20"/>
                <w:szCs w:val="20"/>
                <w:color w:val="auto"/>
              </w:rPr>
            </w:pPr>
            <w:r>
              <w:rPr>
                <w:rFonts w:ascii="Courier New" w:cs="Courier New" w:eastAsia="Courier New" w:hAnsi="Courier New"/>
                <w:sz w:val="18"/>
                <w:szCs w:val="18"/>
                <w:color w:val="auto"/>
              </w:rPr>
              <w:t>January</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spacing w:after="0"/>
              <w:rPr>
                <w:sz w:val="17"/>
                <w:szCs w:val="17"/>
                <w:color w:val="auto"/>
              </w:rPr>
            </w:pPr>
          </w:p>
        </w:tc>
        <w:tc>
          <w:tcPr>
            <w:tcW w:w="268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2940" w:type="dxa"/>
            <w:vAlign w:val="bottom"/>
          </w:tcPr>
          <w:p>
            <w:pPr>
              <w:spacing w:after="0" w:line="202" w:lineRule="exact"/>
              <w:rPr>
                <w:sz w:val="20"/>
                <w:szCs w:val="20"/>
                <w:color w:val="auto"/>
              </w:rPr>
            </w:pPr>
            <w:r>
              <w:rPr>
                <w:rFonts w:ascii="Courier New" w:cs="Courier New" w:eastAsia="Courier New" w:hAnsi="Courier New"/>
                <w:sz w:val="18"/>
                <w:szCs w:val="18"/>
                <w:color w:val="auto"/>
              </w:rPr>
              <w:t>Russell A. Pohl</w:t>
            </w:r>
          </w:p>
        </w:tc>
        <w:tc>
          <w:tcPr>
            <w:tcW w:w="2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6"/>
        </w:trPr>
        <w:tc>
          <w:tcPr>
            <w:tcW w:w="2940" w:type="dxa"/>
            <w:vAlign w:val="bottom"/>
          </w:tcPr>
          <w:p>
            <w:pPr>
              <w:spacing w:after="0"/>
              <w:rPr>
                <w:sz w:val="24"/>
                <w:szCs w:val="24"/>
                <w:color w:val="auto"/>
              </w:rPr>
            </w:pPr>
          </w:p>
        </w:tc>
        <w:tc>
          <w:tcPr>
            <w:tcW w:w="2060" w:type="dxa"/>
            <w:vAlign w:val="bottom"/>
          </w:tcPr>
          <w:p>
            <w:pPr>
              <w:ind w:left="1160"/>
              <w:spacing w:after="0"/>
              <w:rPr>
                <w:sz w:val="20"/>
                <w:szCs w:val="20"/>
                <w:color w:val="auto"/>
              </w:rPr>
            </w:pPr>
            <w:r>
              <w:rPr>
                <w:rFonts w:ascii="Courier New" w:cs="Courier New" w:eastAsia="Courier New" w:hAnsi="Courier New"/>
                <w:sz w:val="18"/>
                <w:szCs w:val="18"/>
                <w:color w:val="auto"/>
              </w:rPr>
              <w:t>11</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139"/>
          </w:cols>
          <w:pgMar w:left="320" w:top="519" w:right="1440" w:bottom="1440" w:gutter="0" w:footer="0" w:header="0"/>
          <w:type w:val="continuous"/>
        </w:sectPr>
      </w:pPr>
    </w:p>
    <w:bookmarkStart w:id="13" w:name="page14"/>
    <w:bookmarkEnd w:id="13"/>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0" w:lineRule="exact"/>
        <w:rPr>
          <w:sz w:val="20"/>
          <w:szCs w:val="20"/>
          <w:color w:val="auto"/>
        </w:rPr>
      </w:pPr>
    </w:p>
    <w:p>
      <w:pPr>
        <w:spacing w:after="0" w:line="202" w:lineRule="exact"/>
        <w:rPr>
          <w:sz w:val="20"/>
          <w:szCs w:val="20"/>
          <w:color w:val="auto"/>
        </w:rPr>
      </w:pPr>
    </w:p>
    <w:p>
      <w:pPr>
        <w:spacing w:after="0"/>
        <w:tabs>
          <w:tab w:leader="none" w:pos="400" w:val="left"/>
          <w:tab w:leader="none" w:pos="940" w:val="left"/>
          <w:tab w:leader="none" w:pos="1660" w:val="left"/>
          <w:tab w:leader="none" w:pos="2080" w:val="left"/>
        </w:tabs>
        <w:rPr>
          <w:sz w:val="20"/>
          <w:szCs w:val="20"/>
          <w:color w:val="auto"/>
        </w:rPr>
      </w:pPr>
      <w:r>
        <w:rPr>
          <w:rFonts w:ascii="Courier New" w:cs="Courier New" w:eastAsia="Courier New" w:hAnsi="Courier New"/>
          <w:sz w:val="18"/>
          <w:szCs w:val="18"/>
          <w:color w:val="auto"/>
        </w:rPr>
        <w:t>To</w:t>
        <w:tab/>
        <w:t>the</w:t>
        <w:tab/>
        <w:t>Board</w:t>
        <w:tab/>
        <w:t>of</w:t>
      </w:r>
      <w:r>
        <w:rPr>
          <w:sz w:val="20"/>
          <w:szCs w:val="20"/>
          <w:color w:val="auto"/>
        </w:rPr>
        <w:tab/>
      </w:r>
      <w:r>
        <w:rPr>
          <w:rFonts w:ascii="Courier New" w:cs="Courier New" w:eastAsia="Courier New" w:hAnsi="Courier New"/>
          <w:sz w:val="16"/>
          <w:szCs w:val="16"/>
          <w:color w:val="auto"/>
        </w:rPr>
        <w:t>Directors</w:t>
      </w:r>
    </w:p>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tabs>
          <w:tab w:leader="none" w:pos="1140" w:val="left"/>
          <w:tab w:leader="none" w:pos="1880" w:val="left"/>
        </w:tabs>
        <w:rPr>
          <w:sz w:val="20"/>
          <w:szCs w:val="20"/>
          <w:color w:val="auto"/>
        </w:rPr>
      </w:pPr>
      <w:r>
        <w:rPr>
          <w:rFonts w:ascii="Courier New" w:cs="Courier New" w:eastAsia="Courier New" w:hAnsi="Courier New"/>
          <w:sz w:val="18"/>
          <w:szCs w:val="18"/>
          <w:color w:val="auto"/>
        </w:rPr>
        <w:t>Humboldt,</w:t>
        <w:tab/>
        <w:t>South</w:t>
      </w:r>
      <w:r>
        <w:rPr>
          <w:sz w:val="20"/>
          <w:szCs w:val="20"/>
          <w:color w:val="auto"/>
        </w:rPr>
        <w:tab/>
      </w:r>
      <w:r>
        <w:rPr>
          <w:rFonts w:ascii="Courier New" w:cs="Courier New" w:eastAsia="Courier New" w:hAnsi="Courier New"/>
          <w:sz w:val="16"/>
          <w:szCs w:val="16"/>
          <w:color w:val="auto"/>
        </w:rPr>
        <w:t>Dakota</w:t>
      </w:r>
    </w:p>
    <w:p>
      <w:pPr>
        <w:spacing w:after="0" w:line="207"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We have audited the accompanying balance sheets of InterActive Inc. as of September 30, 1999 and 1998, and the related statements of operations, stockholders' deficit and cash flows for the years then ended. These financial statements are the responsibility of the Company's management. Our responsibility is to express an opinion on these financial statements based on our audits.</w:t>
      </w:r>
    </w:p>
    <w:p>
      <w:pPr>
        <w:spacing w:after="0" w:line="211" w:lineRule="exact"/>
        <w:rPr>
          <w:sz w:val="20"/>
          <w:szCs w:val="20"/>
          <w:color w:val="auto"/>
        </w:rPr>
      </w:pPr>
    </w:p>
    <w:p>
      <w:pPr>
        <w:ind w:right="1719"/>
        <w:spacing w:after="0" w:line="270"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7"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InterActive Inc. as of September 30, 1999 and 1998, and the results of its operations and its cash flows for the years then ended in conformity with generally accepted accounting principles.</w:t>
      </w:r>
    </w:p>
    <w:p>
      <w:pPr>
        <w:spacing w:after="0" w:line="210"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The accompanying financial statements have been prepared assuming that the Company will continue as a going concern. As discussed in Note 2 to the financial statements, the Company has suffered recurring losses from operations and its total liabilities exceeds its total assets. This raises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ind w:left="4200"/>
        <w:spacing w:after="0"/>
        <w:tabs>
          <w:tab w:leader="none" w:pos="5760" w:val="left"/>
          <w:tab w:leader="none" w:pos="6080" w:val="left"/>
          <w:tab w:leader="none" w:pos="7020" w:val="left"/>
        </w:tabs>
        <w:rPr>
          <w:sz w:val="20"/>
          <w:szCs w:val="20"/>
          <w:color w:val="auto"/>
        </w:rPr>
      </w:pPr>
      <w:r>
        <w:rPr>
          <w:rFonts w:ascii="Courier New" w:cs="Courier New" w:eastAsia="Courier New" w:hAnsi="Courier New"/>
          <w:sz w:val="18"/>
          <w:szCs w:val="18"/>
          <w:color w:val="auto"/>
        </w:rPr>
        <w:t>/S/ McGLADREY</w:t>
        <w:tab/>
        <w:t>&amp;</w:t>
        <w:tab/>
        <w:t>PULLEN,</w:t>
      </w:r>
      <w:r>
        <w:rPr>
          <w:sz w:val="20"/>
          <w:szCs w:val="20"/>
          <w:color w:val="auto"/>
        </w:rPr>
        <w:tab/>
      </w:r>
      <w:r>
        <w:rPr>
          <w:rFonts w:ascii="Courier New" w:cs="Courier New" w:eastAsia="Courier New" w:hAnsi="Courier New"/>
          <w:sz w:val="16"/>
          <w:szCs w:val="16"/>
          <w:color w:val="auto"/>
        </w:rPr>
        <w:t>LLP</w:t>
      </w:r>
    </w:p>
    <w:p>
      <w:pPr>
        <w:spacing w:after="0" w:line="200" w:lineRule="exact"/>
        <w:rPr>
          <w:sz w:val="20"/>
          <w:szCs w:val="20"/>
          <w:color w:val="auto"/>
        </w:rPr>
      </w:pPr>
    </w:p>
    <w:p>
      <w:pPr>
        <w:spacing w:after="0" w:line="202" w:lineRule="exact"/>
        <w:rPr>
          <w:sz w:val="20"/>
          <w:szCs w:val="20"/>
          <w:color w:val="auto"/>
        </w:rPr>
      </w:pPr>
    </w:p>
    <w:p>
      <w:pPr>
        <w:spacing w:after="0"/>
        <w:tabs>
          <w:tab w:leader="none" w:pos="720" w:val="left"/>
          <w:tab w:leader="none" w:pos="1560" w:val="left"/>
          <w:tab w:leader="none" w:pos="2300" w:val="left"/>
        </w:tabs>
        <w:rPr>
          <w:sz w:val="20"/>
          <w:szCs w:val="20"/>
          <w:color w:val="auto"/>
        </w:rPr>
      </w:pPr>
      <w:r>
        <w:rPr>
          <w:rFonts w:ascii="Courier New" w:cs="Courier New" w:eastAsia="Courier New" w:hAnsi="Courier New"/>
          <w:sz w:val="18"/>
          <w:szCs w:val="18"/>
          <w:color w:val="auto"/>
        </w:rPr>
        <w:t>Sioux</w:t>
        <w:tab/>
        <w:t>Falls,</w:t>
        <w:tab/>
        <w:t>South</w:t>
      </w:r>
      <w:r>
        <w:rPr>
          <w:sz w:val="20"/>
          <w:szCs w:val="20"/>
          <w:color w:val="auto"/>
        </w:rPr>
        <w:tab/>
      </w:r>
      <w:r>
        <w:rPr>
          <w:rFonts w:ascii="Courier New" w:cs="Courier New" w:eastAsia="Courier New" w:hAnsi="Courier New"/>
          <w:sz w:val="16"/>
          <w:szCs w:val="16"/>
          <w:color w:val="auto"/>
        </w:rPr>
        <w:t>Dakota</w:t>
      </w:r>
    </w:p>
    <w:p>
      <w:pPr>
        <w:spacing w:after="0"/>
        <w:tabs>
          <w:tab w:leader="none" w:pos="1040" w:val="left"/>
          <w:tab w:leader="none" w:pos="1560" w:val="left"/>
        </w:tabs>
        <w:rPr>
          <w:sz w:val="20"/>
          <w:szCs w:val="20"/>
          <w:color w:val="auto"/>
        </w:rPr>
      </w:pPr>
      <w:r>
        <w:rPr>
          <w:rFonts w:ascii="Courier New" w:cs="Courier New" w:eastAsia="Courier New" w:hAnsi="Courier New"/>
          <w:sz w:val="18"/>
          <w:szCs w:val="18"/>
          <w:color w:val="auto"/>
        </w:rPr>
        <w:t>December</w:t>
        <w:tab/>
        <w:t>13,</w:t>
      </w:r>
      <w:r>
        <w:rPr>
          <w:sz w:val="20"/>
          <w:szCs w:val="20"/>
          <w:color w:val="auto"/>
        </w:rPr>
        <w:tab/>
      </w:r>
      <w:r>
        <w:rPr>
          <w:rFonts w:ascii="Courier New" w:cs="Courier New" w:eastAsia="Courier New" w:hAnsi="Courier New"/>
          <w:sz w:val="16"/>
          <w:szCs w:val="16"/>
          <w:color w:val="auto"/>
        </w:rPr>
        <w:t>1999</w:t>
      </w: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139"/>
          </w:cols>
          <w:pgMar w:left="320" w:top="513" w:right="1440" w:bottom="1440" w:gutter="0" w:footer="0" w:header="0"/>
        </w:sectPr>
      </w:pPr>
    </w:p>
    <w:bookmarkStart w:id="14" w:name="page15"/>
    <w:bookmarkEnd w:id="14"/>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BALANCE</w:t>
      </w:r>
      <w:r>
        <w:rPr>
          <w:sz w:val="20"/>
          <w:szCs w:val="20"/>
          <w:color w:val="auto"/>
        </w:rPr>
        <w:tab/>
      </w:r>
      <w:r>
        <w:rPr>
          <w:rFonts w:ascii="Courier New" w:cs="Courier New" w:eastAsia="Courier New" w:hAnsi="Courier New"/>
          <w:sz w:val="16"/>
          <w:szCs w:val="16"/>
          <w:color w:val="auto"/>
        </w:rPr>
        <w:t>SHEETS</w:t>
      </w:r>
    </w:p>
    <w:p>
      <w:pPr>
        <w:spacing w:after="0"/>
        <w:tabs>
          <w:tab w:leader="none" w:pos="1140" w:val="left"/>
          <w:tab w:leader="none" w:pos="1660" w:val="left"/>
          <w:tab w:leader="none" w:pos="2300" w:val="left"/>
          <w:tab w:leader="none" w:pos="2820" w:val="left"/>
        </w:tabs>
        <w:rPr>
          <w:sz w:val="20"/>
          <w:szCs w:val="20"/>
          <w:color w:val="auto"/>
        </w:rPr>
      </w:pPr>
      <w:r>
        <w:rPr>
          <w:rFonts w:ascii="Courier New" w:cs="Courier New" w:eastAsia="Courier New" w:hAnsi="Courier New"/>
          <w:sz w:val="18"/>
          <w:szCs w:val="18"/>
          <w:color w:val="auto"/>
        </w:rPr>
        <w:t>SEPTEMBER</w:t>
        <w:tab/>
        <w:t>30,</w:t>
        <w:tab/>
        <w:t>1999</w:t>
        <w:tab/>
        <w:t>AND</w:t>
      </w:r>
      <w:r>
        <w:rPr>
          <w:sz w:val="20"/>
          <w:szCs w:val="20"/>
          <w:color w:val="auto"/>
        </w:rPr>
        <w:tab/>
      </w:r>
      <w:r>
        <w:rPr>
          <w:rFonts w:ascii="Courier New" w:cs="Courier New" w:eastAsia="Courier New" w:hAnsi="Courier New"/>
          <w:sz w:val="16"/>
          <w:szCs w:val="16"/>
          <w:color w:val="auto"/>
        </w:rPr>
        <w:t>1998</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ASSETS (NOTE 4)</w:t>
            </w:r>
          </w:p>
        </w:tc>
        <w:tc>
          <w:tcPr>
            <w:tcW w:w="38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53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Cash</w:t>
            </w:r>
          </w:p>
        </w:tc>
        <w:tc>
          <w:tcPr>
            <w:tcW w:w="1880" w:type="dxa"/>
            <w:vAlign w:val="bottom"/>
          </w:tcPr>
          <w:p>
            <w:pPr>
              <w:ind w:left="1620"/>
              <w:spacing w:after="0" w:line="202"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124</w:t>
            </w:r>
          </w:p>
        </w:tc>
        <w:tc>
          <w:tcPr>
            <w:tcW w:w="38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1,018</w:t>
            </w:r>
          </w:p>
        </w:tc>
      </w:tr>
      <w:tr>
        <w:trPr>
          <w:trHeight w:val="202"/>
        </w:trPr>
        <w:tc>
          <w:tcPr>
            <w:tcW w:w="53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Accounts receivable</w:t>
            </w: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11,300</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3,175</w:t>
            </w:r>
          </w:p>
        </w:tc>
      </w:tr>
      <w:tr>
        <w:trPr>
          <w:trHeight w:val="202"/>
        </w:trPr>
        <w:tc>
          <w:tcPr>
            <w:tcW w:w="53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Inventories</w:t>
            </w: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14,295</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16,643</w:t>
            </w:r>
          </w:p>
        </w:tc>
      </w:tr>
      <w:tr>
        <w:trPr>
          <w:trHeight w:val="202"/>
        </w:trPr>
        <w:tc>
          <w:tcPr>
            <w:tcW w:w="53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Prepaid expenses and other assets</w:t>
            </w: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627</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1,187</w:t>
            </w:r>
          </w:p>
        </w:tc>
      </w:tr>
      <w:tr>
        <w:trPr>
          <w:trHeight w:val="202"/>
        </w:trPr>
        <w:tc>
          <w:tcPr>
            <w:tcW w:w="5320" w:type="dxa"/>
            <w:vAlign w:val="bottom"/>
          </w:tcPr>
          <w:p>
            <w:pPr>
              <w:spacing w:after="0"/>
              <w:rPr>
                <w:sz w:val="17"/>
                <w:szCs w:val="17"/>
                <w:color w:val="auto"/>
              </w:rPr>
            </w:pPr>
          </w:p>
        </w:tc>
        <w:tc>
          <w:tcPr>
            <w:tcW w:w="2980" w:type="dxa"/>
            <w:vAlign w:val="bottom"/>
            <w:gridSpan w:val="2"/>
          </w:tcPr>
          <w:p>
            <w:pPr>
              <w:ind w:left="162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532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TOTAL CURRENT ASSETS</w:t>
            </w: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26,346</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22,023</w:t>
            </w:r>
          </w:p>
        </w:tc>
      </w:tr>
      <w:tr>
        <w:trPr>
          <w:trHeight w:val="202"/>
        </w:trPr>
        <w:tc>
          <w:tcPr>
            <w:tcW w:w="5320" w:type="dxa"/>
            <w:vAlign w:val="bottom"/>
          </w:tcPr>
          <w:p>
            <w:pPr>
              <w:spacing w:after="0"/>
              <w:rPr>
                <w:sz w:val="17"/>
                <w:szCs w:val="17"/>
                <w:color w:val="auto"/>
              </w:rPr>
            </w:pPr>
          </w:p>
        </w:tc>
        <w:tc>
          <w:tcPr>
            <w:tcW w:w="2980" w:type="dxa"/>
            <w:vAlign w:val="bottom"/>
            <w:gridSpan w:val="2"/>
          </w:tcPr>
          <w:p>
            <w:pPr>
              <w:ind w:left="162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4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2"/>
        </w:trPr>
        <w:tc>
          <w:tcPr>
            <w:tcW w:w="53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Buildings and improvements</w:t>
            </w: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107,216</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107,216</w:t>
            </w:r>
          </w:p>
        </w:tc>
      </w:tr>
      <w:tr>
        <w:trPr>
          <w:trHeight w:val="202"/>
        </w:trPr>
        <w:tc>
          <w:tcPr>
            <w:tcW w:w="53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Equipment</w:t>
            </w: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10,277</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10,277</w:t>
            </w:r>
          </w:p>
        </w:tc>
      </w:tr>
      <w:tr>
        <w:trPr>
          <w:trHeight w:val="202"/>
        </w:trPr>
        <w:tc>
          <w:tcPr>
            <w:tcW w:w="5320" w:type="dxa"/>
            <w:vAlign w:val="bottom"/>
          </w:tcPr>
          <w:p>
            <w:pPr>
              <w:spacing w:after="0"/>
              <w:rPr>
                <w:sz w:val="17"/>
                <w:szCs w:val="17"/>
                <w:color w:val="auto"/>
              </w:rPr>
            </w:pPr>
          </w:p>
        </w:tc>
        <w:tc>
          <w:tcPr>
            <w:tcW w:w="2980" w:type="dxa"/>
            <w:vAlign w:val="bottom"/>
            <w:gridSpan w:val="2"/>
          </w:tcPr>
          <w:p>
            <w:pPr>
              <w:ind w:left="162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5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117,493</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117,493</w:t>
            </w:r>
          </w:p>
        </w:tc>
      </w:tr>
      <w:tr>
        <w:trPr>
          <w:trHeight w:val="202"/>
        </w:trPr>
        <w:tc>
          <w:tcPr>
            <w:tcW w:w="53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Less accumulated depreciation</w:t>
            </w: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61,546</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53,426</w:t>
            </w:r>
          </w:p>
        </w:tc>
      </w:tr>
      <w:tr>
        <w:trPr>
          <w:trHeight w:val="202"/>
        </w:trPr>
        <w:tc>
          <w:tcPr>
            <w:tcW w:w="5320" w:type="dxa"/>
            <w:vAlign w:val="bottom"/>
          </w:tcPr>
          <w:p>
            <w:pPr>
              <w:spacing w:after="0"/>
              <w:rPr>
                <w:sz w:val="17"/>
                <w:szCs w:val="17"/>
                <w:color w:val="auto"/>
              </w:rPr>
            </w:pPr>
          </w:p>
        </w:tc>
        <w:tc>
          <w:tcPr>
            <w:tcW w:w="2980" w:type="dxa"/>
            <w:vAlign w:val="bottom"/>
            <w:gridSpan w:val="2"/>
          </w:tcPr>
          <w:p>
            <w:pPr>
              <w:ind w:left="162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5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55,947</w:t>
            </w:r>
          </w:p>
        </w:tc>
        <w:tc>
          <w:tcPr>
            <w:tcW w:w="38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64,067</w:t>
            </w:r>
          </w:p>
        </w:tc>
      </w:tr>
      <w:tr>
        <w:trPr>
          <w:trHeight w:val="202"/>
        </w:trPr>
        <w:tc>
          <w:tcPr>
            <w:tcW w:w="5320" w:type="dxa"/>
            <w:vAlign w:val="bottom"/>
          </w:tcPr>
          <w:p>
            <w:pPr>
              <w:spacing w:after="0"/>
              <w:rPr>
                <w:sz w:val="17"/>
                <w:szCs w:val="17"/>
                <w:color w:val="auto"/>
              </w:rPr>
            </w:pPr>
          </w:p>
        </w:tc>
        <w:tc>
          <w:tcPr>
            <w:tcW w:w="2980" w:type="dxa"/>
            <w:vAlign w:val="bottom"/>
            <w:gridSpan w:val="2"/>
          </w:tcPr>
          <w:p>
            <w:pPr>
              <w:ind w:left="162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532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TOTAL ASSETS</w:t>
            </w:r>
          </w:p>
        </w:tc>
        <w:tc>
          <w:tcPr>
            <w:tcW w:w="1880" w:type="dxa"/>
            <w:vAlign w:val="bottom"/>
          </w:tcPr>
          <w:p>
            <w:pPr>
              <w:ind w:left="1620"/>
              <w:spacing w:after="0" w:line="202"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82,293</w:t>
            </w:r>
          </w:p>
        </w:tc>
        <w:tc>
          <w:tcPr>
            <w:tcW w:w="38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86,090</w:t>
            </w:r>
          </w:p>
        </w:tc>
      </w:tr>
      <w:tr>
        <w:trPr>
          <w:trHeight w:val="202"/>
        </w:trPr>
        <w:tc>
          <w:tcPr>
            <w:tcW w:w="5320" w:type="dxa"/>
            <w:vAlign w:val="bottom"/>
          </w:tcPr>
          <w:p>
            <w:pPr>
              <w:spacing w:after="0"/>
              <w:rPr>
                <w:sz w:val="17"/>
                <w:szCs w:val="17"/>
                <w:color w:val="auto"/>
              </w:rPr>
            </w:pPr>
          </w:p>
        </w:tc>
        <w:tc>
          <w:tcPr>
            <w:tcW w:w="2980" w:type="dxa"/>
            <w:vAlign w:val="bottom"/>
            <w:gridSpan w:val="2"/>
          </w:tcPr>
          <w:p>
            <w:pPr>
              <w:ind w:left="162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AND STOCKHOLDERS' DEFICIT</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Current Liabilities</w:t>
      </w:r>
    </w:p>
    <w:tbl>
      <w:tblPr>
        <w:tblLayout w:type="fixed"/>
        <w:tblInd w:w="0" w:type="dxa"/>
        <w:tblCellMar>
          <w:top w:w="0" w:type="dxa"/>
          <w:left w:w="0" w:type="dxa"/>
          <w:bottom w:w="0" w:type="dxa"/>
          <w:right w:w="0" w:type="dxa"/>
        </w:tblCellMar>
      </w:tblPr>
      <w:tr>
        <w:trPr>
          <w:trHeight w:val="203"/>
        </w:trPr>
        <w:tc>
          <w:tcPr>
            <w:tcW w:w="67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related party (Note 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504,000</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Current maturities of long-term debt (Notes 3 and 4)</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22,000</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520,935</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Accounts payable (Note 3)</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154,520</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1,101,527</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Accounts payable, related parties (Note 3)</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14,625</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303,450</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Accrued expenses (Note 3)</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47,076</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103,461</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Accrued expenses, related parties (Notes 3 and 4)</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297,172</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305,444</w:t>
            </w:r>
          </w:p>
        </w:tc>
      </w:tr>
      <w:tr>
        <w:trPr>
          <w:trHeight w:val="202"/>
        </w:trPr>
        <w:tc>
          <w:tcPr>
            <w:tcW w:w="6780" w:type="dxa"/>
            <w:vAlign w:val="bottom"/>
          </w:tcPr>
          <w:p>
            <w:pPr>
              <w:spacing w:after="0"/>
              <w:rPr>
                <w:sz w:val="17"/>
                <w:szCs w:val="17"/>
                <w:color w:val="auto"/>
              </w:rPr>
            </w:pPr>
          </w:p>
        </w:tc>
        <w:tc>
          <w:tcPr>
            <w:tcW w:w="152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678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1,035,393</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2,838,817</w:t>
            </w:r>
          </w:p>
        </w:tc>
      </w:tr>
      <w:tr>
        <w:trPr>
          <w:trHeight w:val="202"/>
        </w:trPr>
        <w:tc>
          <w:tcPr>
            <w:tcW w:w="6780" w:type="dxa"/>
            <w:vAlign w:val="bottom"/>
          </w:tcPr>
          <w:p>
            <w:pPr>
              <w:spacing w:after="0"/>
              <w:rPr>
                <w:sz w:val="17"/>
                <w:szCs w:val="17"/>
                <w:color w:val="auto"/>
              </w:rPr>
            </w:pPr>
          </w:p>
        </w:tc>
        <w:tc>
          <w:tcPr>
            <w:tcW w:w="152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404"/>
        </w:trPr>
        <w:tc>
          <w:tcPr>
            <w:tcW w:w="6780" w:type="dxa"/>
            <w:vAlign w:val="bottom"/>
          </w:tcPr>
          <w:p>
            <w:pPr>
              <w:spacing w:after="0"/>
              <w:rPr>
                <w:sz w:val="20"/>
                <w:szCs w:val="20"/>
                <w:color w:val="auto"/>
              </w:rPr>
            </w:pPr>
            <w:r>
              <w:rPr>
                <w:rFonts w:ascii="Courier New" w:cs="Courier New" w:eastAsia="Courier New" w:hAnsi="Courier New"/>
                <w:sz w:val="18"/>
                <w:szCs w:val="18"/>
                <w:color w:val="auto"/>
              </w:rPr>
              <w:t>Long-Term Debt, less current maturities (Notes 3 and 4)</w:t>
            </w:r>
          </w:p>
        </w:tc>
        <w:tc>
          <w:tcPr>
            <w:tcW w:w="26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43,000</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45,000</w:t>
            </w:r>
          </w:p>
        </w:tc>
      </w:tr>
      <w:tr>
        <w:trPr>
          <w:trHeight w:val="202"/>
        </w:trPr>
        <w:tc>
          <w:tcPr>
            <w:tcW w:w="6780" w:type="dxa"/>
            <w:vAlign w:val="bottom"/>
          </w:tcPr>
          <w:p>
            <w:pPr>
              <w:spacing w:after="0"/>
              <w:rPr>
                <w:sz w:val="17"/>
                <w:szCs w:val="17"/>
                <w:color w:val="auto"/>
              </w:rPr>
            </w:pPr>
          </w:p>
        </w:tc>
        <w:tc>
          <w:tcPr>
            <w:tcW w:w="152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404"/>
        </w:trPr>
        <w:tc>
          <w:tcPr>
            <w:tcW w:w="6780" w:type="dxa"/>
            <w:vAlign w:val="bottom"/>
          </w:tcPr>
          <w:p>
            <w:pPr>
              <w:spacing w:after="0"/>
              <w:rPr>
                <w:sz w:val="20"/>
                <w:szCs w:val="20"/>
                <w:color w:val="auto"/>
              </w:rPr>
            </w:pPr>
            <w:r>
              <w:rPr>
                <w:rFonts w:ascii="Courier New" w:cs="Courier New" w:eastAsia="Courier New" w:hAnsi="Courier New"/>
                <w:sz w:val="18"/>
                <w:szCs w:val="18"/>
                <w:color w:val="auto"/>
              </w:rPr>
              <w:t>Contingencies (Notes 3 and 4)</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4"/>
        </w:trPr>
        <w:tc>
          <w:tcPr>
            <w:tcW w:w="6780" w:type="dxa"/>
            <w:vAlign w:val="bottom"/>
          </w:tcPr>
          <w:p>
            <w:pPr>
              <w:spacing w:after="0"/>
              <w:rPr>
                <w:sz w:val="20"/>
                <w:szCs w:val="20"/>
                <w:color w:val="auto"/>
              </w:rPr>
            </w:pPr>
            <w:r>
              <w:rPr>
                <w:rFonts w:ascii="Courier New" w:cs="Courier New" w:eastAsia="Courier New" w:hAnsi="Courier New"/>
                <w:sz w:val="18"/>
                <w:szCs w:val="18"/>
                <w:color w:val="auto"/>
              </w:rPr>
              <w:t>Stockholders' Deficit (Notes 3 and 8)</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Series A preferred stock, $.001 par value; authorized</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678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5,000,000 shares; issued and outstanding 113,901 shares;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678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9"/>
              </w:rPr>
              <w:t>total liquidation preference of outstanding shares $172,069</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114</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114</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Series B preferred stock, $.001 par value; authorized</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678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2,000,000 shares; 2,000,000 and 0 shares issued</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678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and outstanding at September 30, 1999 and 1998;</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678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9"/>
              </w:rPr>
              <w:t>total liquidation preference of outstanding shares $300,000</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Common stock, $.001 par value; authorized 10,000,000</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678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shares; 4,912,138 and 3,214,976 shares issued and</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678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outstanding at September 30, 1999 and 1998</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4,912</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3,215</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Additional paid-in capital</w:t>
            </w:r>
          </w:p>
        </w:tc>
        <w:tc>
          <w:tcPr>
            <w:tcW w:w="26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8,040,217</w:t>
            </w:r>
          </w:p>
        </w:tc>
        <w:tc>
          <w:tcPr>
            <w:tcW w:w="2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6,835,290</w:t>
            </w:r>
          </w:p>
        </w:tc>
      </w:tr>
      <w:tr>
        <w:trPr>
          <w:trHeight w:val="202"/>
        </w:trPr>
        <w:tc>
          <w:tcPr>
            <w:tcW w:w="6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Accumulated deficit</w:t>
            </w: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5"/>
              </w:rPr>
              <w:t>(9,043,343)</w:t>
            </w: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(9,636,346)</w:t>
            </w:r>
          </w:p>
        </w:tc>
      </w:tr>
      <w:tr>
        <w:trPr>
          <w:trHeight w:val="202"/>
        </w:trPr>
        <w:tc>
          <w:tcPr>
            <w:tcW w:w="6780" w:type="dxa"/>
            <w:vAlign w:val="bottom"/>
          </w:tcPr>
          <w:p>
            <w:pPr>
              <w:spacing w:after="0"/>
              <w:rPr>
                <w:sz w:val="17"/>
                <w:szCs w:val="17"/>
                <w:color w:val="auto"/>
              </w:rPr>
            </w:pPr>
          </w:p>
        </w:tc>
        <w:tc>
          <w:tcPr>
            <w:tcW w:w="152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678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TOTAL STOCKHOLDERS' DEFICIT</w:t>
            </w:r>
          </w:p>
        </w:tc>
        <w:tc>
          <w:tcPr>
            <w:tcW w:w="2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(996,100)</w:t>
            </w: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(2,797,727)</w:t>
            </w:r>
          </w:p>
        </w:tc>
      </w:tr>
      <w:tr>
        <w:trPr>
          <w:trHeight w:val="202"/>
        </w:trPr>
        <w:tc>
          <w:tcPr>
            <w:tcW w:w="6780" w:type="dxa"/>
            <w:vAlign w:val="bottom"/>
          </w:tcPr>
          <w:p>
            <w:pPr>
              <w:spacing w:after="0"/>
              <w:rPr>
                <w:sz w:val="17"/>
                <w:szCs w:val="17"/>
                <w:color w:val="auto"/>
              </w:rPr>
            </w:pPr>
          </w:p>
        </w:tc>
        <w:tc>
          <w:tcPr>
            <w:tcW w:w="152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678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TOTAL LIABILITIES AND STOCKHOLDERS' DEFICIT</w:t>
            </w:r>
          </w:p>
        </w:tc>
        <w:tc>
          <w:tcPr>
            <w:tcW w:w="26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82,293</w:t>
            </w:r>
          </w:p>
        </w:tc>
        <w:tc>
          <w:tcPr>
            <w:tcW w:w="22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86,090</w:t>
            </w:r>
          </w:p>
        </w:tc>
      </w:tr>
      <w:tr>
        <w:trPr>
          <w:trHeight w:val="202"/>
        </w:trPr>
        <w:tc>
          <w:tcPr>
            <w:tcW w:w="6780" w:type="dxa"/>
            <w:vAlign w:val="bottom"/>
          </w:tcPr>
          <w:p>
            <w:pPr>
              <w:spacing w:after="0"/>
              <w:rPr>
                <w:sz w:val="17"/>
                <w:szCs w:val="17"/>
                <w:color w:val="auto"/>
              </w:rPr>
            </w:pPr>
          </w:p>
        </w:tc>
        <w:tc>
          <w:tcPr>
            <w:tcW w:w="152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2" w:lineRule="exact"/>
        <w:rPr>
          <w:sz w:val="20"/>
          <w:szCs w:val="20"/>
          <w:color w:val="auto"/>
        </w:rPr>
      </w:pPr>
    </w:p>
    <w:p>
      <w:pPr>
        <w:spacing w:after="0"/>
        <w:tabs>
          <w:tab w:leader="none" w:pos="520" w:val="left"/>
          <w:tab w:leader="none" w:pos="1240" w:val="left"/>
          <w:tab w:leader="none" w:pos="1660" w:val="left"/>
          <w:tab w:leader="none" w:pos="2820" w:val="left"/>
        </w:tabs>
        <w:rPr>
          <w:sz w:val="20"/>
          <w:szCs w:val="20"/>
          <w:color w:val="auto"/>
        </w:rPr>
      </w:pPr>
      <w:r>
        <w:rPr>
          <w:rFonts w:ascii="Courier New" w:cs="Courier New" w:eastAsia="Courier New" w:hAnsi="Courier New"/>
          <w:sz w:val="18"/>
          <w:szCs w:val="18"/>
          <w:color w:val="auto"/>
        </w:rPr>
        <w:t>See</w:t>
        <w:tab/>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0" w:lineRule="exact"/>
        <w:rPr>
          <w:sz w:val="20"/>
          <w:szCs w:val="20"/>
          <w:color w:val="auto"/>
        </w:rPr>
      </w:pP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139"/>
          </w:cols>
          <w:pgMar w:left="320" w:top="917" w:right="1440" w:bottom="809"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Courier New" w:cs="Courier New" w:eastAsia="Courier New" w:hAnsi="Courier New"/>
                <w:sz w:val="18"/>
                <w:szCs w:val="18"/>
                <w:color w:val="auto"/>
              </w:rPr>
              <w:t>INTERACTIVE</w:t>
            </w:r>
          </w:p>
        </w:tc>
        <w:tc>
          <w:tcPr>
            <w:tcW w:w="6840" w:type="dxa"/>
            <w:vAlign w:val="bottom"/>
          </w:tcPr>
          <w:p>
            <w:pPr>
              <w:jc w:val="right"/>
              <w:ind w:right="6212"/>
              <w:spacing w:after="0"/>
              <w:rPr>
                <w:sz w:val="20"/>
                <w:szCs w:val="20"/>
                <w:color w:val="auto"/>
              </w:rPr>
            </w:pPr>
            <w:r>
              <w:rPr>
                <w:rFonts w:ascii="Courier New" w:cs="Courier New" w:eastAsia="Courier New" w:hAnsi="Courier New"/>
                <w:sz w:val="18"/>
                <w:szCs w:val="18"/>
                <w:color w:val="auto"/>
              </w:rPr>
              <w:t>INC.</w:t>
            </w:r>
          </w:p>
        </w:tc>
        <w:tc>
          <w:tcPr>
            <w:tcW w:w="840" w:type="dxa"/>
            <w:vAlign w:val="bottom"/>
          </w:tcPr>
          <w:p>
            <w:pPr>
              <w:spacing w:after="0"/>
              <w:rPr>
                <w:sz w:val="17"/>
                <w:szCs w:val="17"/>
                <w:color w:val="auto"/>
              </w:rPr>
            </w:pPr>
          </w:p>
        </w:tc>
      </w:tr>
      <w:tr>
        <w:trPr>
          <w:trHeight w:val="404"/>
        </w:trPr>
        <w:tc>
          <w:tcPr>
            <w:tcW w:w="1260" w:type="dxa"/>
            <w:vAlign w:val="bottom"/>
          </w:tcPr>
          <w:p>
            <w:pPr>
              <w:spacing w:after="0"/>
              <w:rPr>
                <w:sz w:val="20"/>
                <w:szCs w:val="20"/>
                <w:color w:val="auto"/>
              </w:rPr>
            </w:pPr>
            <w:r>
              <w:rPr>
                <w:rFonts w:ascii="Courier New" w:cs="Courier New" w:eastAsia="Courier New" w:hAnsi="Courier New"/>
                <w:sz w:val="18"/>
                <w:szCs w:val="18"/>
                <w:color w:val="auto"/>
              </w:rPr>
              <w:t>STATEMENTS</w:t>
            </w:r>
          </w:p>
        </w:tc>
        <w:tc>
          <w:tcPr>
            <w:tcW w:w="6840" w:type="dxa"/>
            <w:vAlign w:val="bottom"/>
          </w:tcPr>
          <w:p>
            <w:pPr>
              <w:jc w:val="right"/>
              <w:ind w:right="5272"/>
              <w:spacing w:after="0"/>
              <w:rPr>
                <w:sz w:val="20"/>
                <w:szCs w:val="20"/>
                <w:color w:val="auto"/>
              </w:rPr>
            </w:pPr>
            <w:r>
              <w:rPr>
                <w:rFonts w:ascii="Courier New" w:cs="Courier New" w:eastAsia="Courier New" w:hAnsi="Courier New"/>
                <w:sz w:val="18"/>
                <w:szCs w:val="18"/>
                <w:color w:val="auto"/>
                <w:w w:val="96"/>
              </w:rPr>
              <w:t>OF  OPERATIONS</w:t>
            </w:r>
          </w:p>
        </w:tc>
        <w:tc>
          <w:tcPr>
            <w:tcW w:w="840" w:type="dxa"/>
            <w:vAlign w:val="bottom"/>
          </w:tcPr>
          <w:p>
            <w:pPr>
              <w:spacing w:after="0"/>
              <w:rPr>
                <w:sz w:val="24"/>
                <w:szCs w:val="24"/>
                <w:color w:val="auto"/>
              </w:rPr>
            </w:pPr>
          </w:p>
        </w:tc>
      </w:tr>
      <w:tr>
        <w:trPr>
          <w:trHeight w:val="202"/>
        </w:trPr>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w w:val="95"/>
              </w:rPr>
              <w:t>YEARS  ENDED</w:t>
            </w:r>
          </w:p>
        </w:tc>
        <w:tc>
          <w:tcPr>
            <w:tcW w:w="6840" w:type="dxa"/>
            <w:vAlign w:val="bottom"/>
          </w:tcPr>
          <w:p>
            <w:pPr>
              <w:jc w:val="right"/>
              <w:ind w:right="3272"/>
              <w:spacing w:after="0" w:line="202" w:lineRule="exact"/>
              <w:rPr>
                <w:sz w:val="20"/>
                <w:szCs w:val="20"/>
                <w:color w:val="auto"/>
              </w:rPr>
            </w:pPr>
            <w:r>
              <w:rPr>
                <w:rFonts w:ascii="Courier New" w:cs="Courier New" w:eastAsia="Courier New" w:hAnsi="Courier New"/>
                <w:sz w:val="18"/>
                <w:szCs w:val="18"/>
                <w:color w:val="auto"/>
              </w:rPr>
              <w:t>SEPTEMBER  30,  1999  AND  1998</w:t>
            </w:r>
          </w:p>
        </w:tc>
        <w:tc>
          <w:tcPr>
            <w:tcW w:w="840" w:type="dxa"/>
            <w:vAlign w:val="bottom"/>
          </w:tcPr>
          <w:p>
            <w:pPr>
              <w:spacing w:after="0"/>
              <w:rPr>
                <w:sz w:val="17"/>
                <w:szCs w:val="17"/>
                <w:color w:val="auto"/>
              </w:rPr>
            </w:pPr>
          </w:p>
        </w:tc>
      </w:tr>
      <w:tr>
        <w:trPr>
          <w:trHeight w:val="606"/>
        </w:trPr>
        <w:tc>
          <w:tcPr>
            <w:tcW w:w="1260" w:type="dxa"/>
            <w:vAlign w:val="bottom"/>
          </w:tcPr>
          <w:p>
            <w:pPr>
              <w:spacing w:after="0"/>
              <w:rPr>
                <w:sz w:val="24"/>
                <w:szCs w:val="24"/>
                <w:color w:val="auto"/>
              </w:rPr>
            </w:pPr>
          </w:p>
        </w:tc>
        <w:tc>
          <w:tcPr>
            <w:tcW w:w="6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36,998</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60,378</w:t>
            </w:r>
          </w:p>
        </w:tc>
      </w:tr>
      <w:tr>
        <w:trPr>
          <w:trHeight w:val="202"/>
        </w:trPr>
        <w:tc>
          <w:tcPr>
            <w:tcW w:w="6840" w:type="dxa"/>
            <w:vAlign w:val="bottom"/>
          </w:tcPr>
          <w:p>
            <w:pPr>
              <w:spacing w:after="0" w:line="202" w:lineRule="exact"/>
              <w:rPr>
                <w:sz w:val="20"/>
                <w:szCs w:val="20"/>
                <w:color w:val="auto"/>
              </w:rPr>
            </w:pPr>
            <w:r>
              <w:rPr>
                <w:rFonts w:ascii="Courier New" w:cs="Courier New" w:eastAsia="Courier New" w:hAnsi="Courier New"/>
                <w:sz w:val="18"/>
                <w:szCs w:val="18"/>
                <w:color w:val="auto"/>
              </w:rPr>
              <w:t>Cost of goods sold</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2,852</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6,672</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34,146</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53,706</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8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6840" w:type="dxa"/>
            <w:vAlign w:val="bottom"/>
          </w:tcPr>
          <w:p>
            <w:pPr>
              <w:spacing w:after="0" w:line="202" w:lineRule="exact"/>
              <w:rPr>
                <w:sz w:val="20"/>
                <w:szCs w:val="20"/>
                <w:color w:val="auto"/>
              </w:rPr>
            </w:pPr>
            <w:r>
              <w:rPr>
                <w:rFonts w:ascii="Courier New" w:cs="Courier New" w:eastAsia="Courier New" w:hAnsi="Courier New"/>
                <w:sz w:val="18"/>
                <w:szCs w:val="18"/>
                <w:color w:val="auto"/>
              </w:rPr>
              <w:t>Selling</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34,180</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38,059</w:t>
            </w:r>
          </w:p>
        </w:tc>
      </w:tr>
      <w:tr>
        <w:trPr>
          <w:trHeight w:val="202"/>
        </w:trPr>
        <w:tc>
          <w:tcPr>
            <w:tcW w:w="6840" w:type="dxa"/>
            <w:vAlign w:val="bottom"/>
          </w:tcPr>
          <w:p>
            <w:pPr>
              <w:spacing w:after="0" w:line="202"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56,182</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39,946</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90,362</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78,005</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OPERATING (LOSS)</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(56,216)</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(24,299)</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840" w:type="dxa"/>
            <w:vAlign w:val="bottom"/>
          </w:tcPr>
          <w:p>
            <w:pPr>
              <w:spacing w:after="0"/>
              <w:rPr>
                <w:sz w:val="20"/>
                <w:szCs w:val="20"/>
                <w:color w:val="auto"/>
              </w:rPr>
            </w:pPr>
            <w:r>
              <w:rPr>
                <w:rFonts w:ascii="Courier New" w:cs="Courier New" w:eastAsia="Courier New" w:hAnsi="Courier New"/>
                <w:sz w:val="18"/>
                <w:szCs w:val="18"/>
                <w:color w:val="auto"/>
              </w:rPr>
              <w:t>Nonoperating income (expense):</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68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Write off of accounts payable</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52,898</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Other income</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1,103</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889</w:t>
            </w:r>
          </w:p>
        </w:tc>
      </w:tr>
      <w:tr>
        <w:trPr>
          <w:trHeight w:val="202"/>
        </w:trPr>
        <w:tc>
          <w:tcPr>
            <w:tcW w:w="68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Debt conversion expense (Note 4)</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(260,560)</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(105,684)</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(141,615)</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(312,243)</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(140,726)</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(LOSS) BEFORE INCOME TAXES</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(368,459)</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(165,025)</w:t>
            </w:r>
          </w:p>
        </w:tc>
      </w:tr>
      <w:tr>
        <w:trPr>
          <w:trHeight w:val="202"/>
        </w:trPr>
        <w:tc>
          <w:tcPr>
            <w:tcW w:w="6840" w:type="dxa"/>
            <w:vAlign w:val="bottom"/>
          </w:tcPr>
          <w:p>
            <w:pPr>
              <w:spacing w:after="0" w:line="202" w:lineRule="exact"/>
              <w:rPr>
                <w:sz w:val="20"/>
                <w:szCs w:val="20"/>
                <w:color w:val="auto"/>
              </w:rPr>
            </w:pPr>
            <w:r>
              <w:rPr>
                <w:rFonts w:ascii="Courier New" w:cs="Courier New" w:eastAsia="Courier New" w:hAnsi="Courier New"/>
                <w:sz w:val="18"/>
                <w:szCs w:val="18"/>
                <w:color w:val="auto"/>
              </w:rPr>
              <w:t>Income tax expense (Note 5)</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(LOSS) BEFORE EXTRAORDINARY INCOME</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(368,459)</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(165,025)</w:t>
            </w:r>
          </w:p>
        </w:tc>
      </w:tr>
      <w:tr>
        <w:trPr>
          <w:trHeight w:val="202"/>
        </w:trPr>
        <w:tc>
          <w:tcPr>
            <w:tcW w:w="684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Extraordinary income, gain on settlement of liabilities (Note 3)</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961,462</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NET INCOME (LOSS)</w:t>
            </w:r>
          </w:p>
        </w:tc>
        <w:tc>
          <w:tcPr>
            <w:tcW w:w="1260" w:type="dxa"/>
            <w:vAlign w:val="bottom"/>
            <w:gridSpan w:val="2"/>
          </w:tcPr>
          <w:p>
            <w:pPr>
              <w:jc w:val="right"/>
              <w:ind w:right="132"/>
              <w:spacing w:after="0" w:line="202" w:lineRule="exact"/>
              <w:rPr>
                <w:sz w:val="20"/>
                <w:szCs w:val="20"/>
                <w:color w:val="auto"/>
              </w:rPr>
            </w:pPr>
            <w:r>
              <w:rPr>
                <w:rFonts w:ascii="Courier New" w:cs="Courier New" w:eastAsia="Courier New" w:hAnsi="Courier New"/>
                <w:sz w:val="18"/>
                <w:szCs w:val="18"/>
                <w:color w:val="auto"/>
              </w:rPr>
              <w:t>$ 593,003</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$(165,025)</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840" w:type="dxa"/>
            <w:vAlign w:val="bottom"/>
          </w:tcPr>
          <w:p>
            <w:pPr>
              <w:spacing w:after="0"/>
              <w:rPr>
                <w:sz w:val="20"/>
                <w:szCs w:val="20"/>
                <w:color w:val="auto"/>
              </w:rPr>
            </w:pPr>
            <w:r>
              <w:rPr>
                <w:rFonts w:ascii="Courier New" w:cs="Courier New" w:eastAsia="Courier New" w:hAnsi="Courier New"/>
                <w:sz w:val="18"/>
                <w:szCs w:val="18"/>
                <w:color w:val="auto"/>
              </w:rPr>
              <w:t>Earnings (loss) per common share</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68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(Loss) before extraordinary income</w:t>
            </w:r>
          </w:p>
        </w:tc>
        <w:tc>
          <w:tcPr>
            <w:tcW w:w="20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(0.10)</w:t>
            </w:r>
          </w:p>
        </w:tc>
        <w:tc>
          <w:tcPr>
            <w:tcW w:w="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(0.05)</w:t>
            </w:r>
          </w:p>
        </w:tc>
      </w:tr>
      <w:tr>
        <w:trPr>
          <w:trHeight w:val="202"/>
        </w:trPr>
        <w:tc>
          <w:tcPr>
            <w:tcW w:w="68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Extraordinary income</w:t>
            </w:r>
          </w:p>
        </w:tc>
        <w:tc>
          <w:tcPr>
            <w:tcW w:w="20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0.25</w:t>
            </w:r>
          </w:p>
        </w:tc>
        <w:tc>
          <w:tcPr>
            <w:tcW w:w="20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84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NET INCOME (LOSS)</w:t>
            </w:r>
          </w:p>
        </w:tc>
        <w:tc>
          <w:tcPr>
            <w:tcW w:w="20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0.15</w:t>
            </w:r>
          </w:p>
        </w:tc>
        <w:tc>
          <w:tcPr>
            <w:tcW w:w="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(0.05)</w:t>
            </w:r>
          </w:p>
        </w:tc>
      </w:tr>
      <w:tr>
        <w:trPr>
          <w:trHeight w:val="202"/>
        </w:trPr>
        <w:tc>
          <w:tcPr>
            <w:tcW w:w="684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tabs>
          <w:tab w:leader="none" w:pos="520" w:val="left"/>
          <w:tab w:leader="none" w:pos="1240" w:val="left"/>
          <w:tab w:leader="none" w:pos="1660" w:val="left"/>
          <w:tab w:leader="none" w:pos="2820" w:val="left"/>
        </w:tabs>
        <w:rPr>
          <w:sz w:val="20"/>
          <w:szCs w:val="20"/>
          <w:color w:val="auto"/>
        </w:rPr>
      </w:pPr>
      <w:r>
        <w:rPr>
          <w:rFonts w:ascii="Courier New" w:cs="Courier New" w:eastAsia="Courier New" w:hAnsi="Courier New"/>
          <w:sz w:val="18"/>
          <w:szCs w:val="18"/>
          <w:color w:val="auto"/>
        </w:rPr>
        <w:t>See</w:t>
        <w:tab/>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0" w:lineRule="exact"/>
        <w:rPr>
          <w:sz w:val="20"/>
          <w:szCs w:val="20"/>
          <w:color w:val="auto"/>
        </w:rPr>
      </w:pP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139"/>
          </w:cols>
          <w:pgMar w:left="320" w:top="917"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Courier New" w:cs="Courier New" w:eastAsia="Courier New" w:hAnsi="Courier New"/>
                <w:sz w:val="18"/>
                <w:szCs w:val="18"/>
                <w:color w:val="auto"/>
              </w:rPr>
              <w:t>INTERACTIVE</w:t>
            </w:r>
          </w:p>
        </w:tc>
        <w:tc>
          <w:tcPr>
            <w:tcW w:w="1840" w:type="dxa"/>
            <w:vAlign w:val="bottom"/>
          </w:tcPr>
          <w:p>
            <w:pPr>
              <w:ind w:left="120"/>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4"/>
        </w:trPr>
        <w:tc>
          <w:tcPr>
            <w:tcW w:w="1260" w:type="dxa"/>
            <w:vAlign w:val="bottom"/>
          </w:tcPr>
          <w:p>
            <w:pPr>
              <w:spacing w:after="0"/>
              <w:rPr>
                <w:sz w:val="20"/>
                <w:szCs w:val="20"/>
                <w:color w:val="auto"/>
              </w:rPr>
            </w:pPr>
            <w:r>
              <w:rPr>
                <w:rFonts w:ascii="Courier New" w:cs="Courier New" w:eastAsia="Courier New" w:hAnsi="Courier New"/>
                <w:sz w:val="18"/>
                <w:szCs w:val="18"/>
                <w:color w:val="auto"/>
              </w:rPr>
              <w:t>STATEMENTS</w:t>
            </w:r>
          </w:p>
        </w:tc>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OF  STOCKHOLDERS'</w:t>
            </w:r>
          </w:p>
        </w:tc>
        <w:tc>
          <w:tcPr>
            <w:tcW w:w="17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DEFICIT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w w:val="95"/>
              </w:rPr>
              <w:t>YEARS  ENDED</w:t>
            </w:r>
          </w:p>
        </w:tc>
        <w:tc>
          <w:tcPr>
            <w:tcW w:w="18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SEPTEMBER  30,</w:t>
            </w:r>
          </w:p>
        </w:tc>
        <w:tc>
          <w:tcPr>
            <w:tcW w:w="680" w:type="dxa"/>
            <w:vAlign w:val="bottom"/>
            <w:gridSpan w:val="2"/>
          </w:tcPr>
          <w:p>
            <w:pPr>
              <w:jc w:val="right"/>
              <w:ind w:right="112"/>
              <w:spacing w:after="0" w:line="202" w:lineRule="exact"/>
              <w:rPr>
                <w:sz w:val="20"/>
                <w:szCs w:val="20"/>
                <w:color w:val="auto"/>
              </w:rPr>
            </w:pPr>
            <w:r>
              <w:rPr>
                <w:rFonts w:ascii="Courier New" w:cs="Courier New" w:eastAsia="Courier New" w:hAnsi="Courier New"/>
                <w:sz w:val="18"/>
                <w:szCs w:val="18"/>
                <w:color w:val="auto"/>
              </w:rPr>
              <w:t>1999</w:t>
            </w:r>
          </w:p>
        </w:tc>
        <w:tc>
          <w:tcPr>
            <w:tcW w:w="1060" w:type="dxa"/>
            <w:vAlign w:val="bottom"/>
          </w:tcPr>
          <w:p>
            <w:pPr>
              <w:spacing w:after="0" w:line="202" w:lineRule="exact"/>
              <w:rPr>
                <w:sz w:val="20"/>
                <w:szCs w:val="20"/>
                <w:color w:val="auto"/>
              </w:rPr>
            </w:pPr>
            <w:r>
              <w:rPr>
                <w:rFonts w:ascii="Courier New" w:cs="Courier New" w:eastAsia="Courier New" w:hAnsi="Courier New"/>
                <w:sz w:val="18"/>
                <w:szCs w:val="18"/>
                <w:color w:val="auto"/>
              </w:rPr>
              <w:t>AND  1998</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6"/>
        </w:trPr>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SERIES A</w:t>
            </w:r>
          </w:p>
        </w:tc>
        <w:tc>
          <w:tcPr>
            <w:tcW w:w="2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SERIES B</w:t>
            </w:r>
          </w:p>
        </w:tc>
        <w:tc>
          <w:tcPr>
            <w:tcW w:w="94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ADDITIONAL</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PREFERRED</w:t>
            </w:r>
          </w:p>
        </w:tc>
        <w:tc>
          <w:tcPr>
            <w:tcW w:w="12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PREFERRED</w:t>
            </w:r>
          </w:p>
        </w:tc>
        <w:tc>
          <w:tcPr>
            <w:tcW w:w="94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COMMON</w:t>
            </w:r>
          </w:p>
        </w:tc>
        <w:tc>
          <w:tcPr>
            <w:tcW w:w="138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PAID-IN</w:t>
            </w:r>
          </w:p>
        </w:tc>
        <w:tc>
          <w:tcPr>
            <w:tcW w:w="15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ACCUMULATED</w:t>
            </w:r>
          </w:p>
        </w:tc>
        <w:tc>
          <w:tcPr>
            <w:tcW w:w="1360" w:type="dxa"/>
            <w:vAlign w:val="bottom"/>
          </w:tcPr>
          <w:p>
            <w:pPr>
              <w:spacing w:after="0"/>
              <w:rPr>
                <w:sz w:val="17"/>
                <w:szCs w:val="17"/>
                <w:color w:val="auto"/>
              </w:rPr>
            </w:pPr>
          </w:p>
        </w:tc>
      </w:tr>
      <w:tr>
        <w:trPr>
          <w:trHeight w:val="202"/>
        </w:trPr>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STOCK</w:t>
            </w:r>
          </w:p>
        </w:tc>
        <w:tc>
          <w:tcPr>
            <w:tcW w:w="220" w:type="dxa"/>
            <w:vAlign w:val="bottom"/>
          </w:tcPr>
          <w:p>
            <w:pPr>
              <w:spacing w:after="0"/>
              <w:rPr>
                <w:sz w:val="17"/>
                <w:szCs w:val="17"/>
                <w:color w:val="auto"/>
              </w:rPr>
            </w:pPr>
          </w:p>
        </w:tc>
        <w:tc>
          <w:tcPr>
            <w:tcW w:w="104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STOCK</w:t>
            </w:r>
          </w:p>
        </w:tc>
        <w:tc>
          <w:tcPr>
            <w:tcW w:w="138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CAPITAL</w:t>
            </w:r>
          </w:p>
        </w:tc>
        <w:tc>
          <w:tcPr>
            <w:tcW w:w="15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5"/>
              </w:rPr>
              <w:t>DEFICIT</w:t>
            </w:r>
          </w:p>
        </w:tc>
        <w:tc>
          <w:tcPr>
            <w:tcW w:w="1360" w:type="dxa"/>
            <w:vAlign w:val="bottom"/>
          </w:tcPr>
          <w:p>
            <w:pPr>
              <w:jc w:val="right"/>
              <w:ind w:right="312"/>
              <w:spacing w:after="0" w:line="202" w:lineRule="exact"/>
              <w:rPr>
                <w:sz w:val="20"/>
                <w:szCs w:val="20"/>
                <w:color w:val="auto"/>
              </w:rPr>
            </w:pPr>
            <w:r>
              <w:rPr>
                <w:rFonts w:ascii="Courier New" w:cs="Courier New" w:eastAsia="Courier New" w:hAnsi="Courier New"/>
                <w:sz w:val="18"/>
                <w:szCs w:val="18"/>
                <w:color w:val="auto"/>
              </w:rPr>
              <w:t>TOTAL</w:t>
            </w:r>
          </w:p>
        </w:tc>
      </w:tr>
      <w:tr>
        <w:trPr>
          <w:trHeight w:val="202"/>
        </w:trPr>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5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3100" w:type="dxa"/>
            <w:vAlign w:val="bottom"/>
            <w:gridSpan w:val="2"/>
          </w:tcPr>
          <w:p>
            <w:pPr>
              <w:spacing w:after="0"/>
              <w:rPr>
                <w:sz w:val="20"/>
                <w:szCs w:val="20"/>
                <w:color w:val="auto"/>
              </w:rPr>
            </w:pPr>
            <w:r>
              <w:rPr>
                <w:rFonts w:ascii="Courier New" w:cs="Courier New" w:eastAsia="Courier New" w:hAnsi="Courier New"/>
                <w:sz w:val="18"/>
                <w:szCs w:val="18"/>
                <w:color w:val="auto"/>
              </w:rPr>
              <w:t>Balance, September 30, 1997</w:t>
            </w:r>
          </w:p>
        </w:tc>
        <w:tc>
          <w:tcPr>
            <w:tcW w:w="42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114</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$ 3,191</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$ 6,834,594</w:t>
            </w:r>
          </w:p>
        </w:tc>
        <w:tc>
          <w:tcPr>
            <w:tcW w:w="15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(9,471,321)</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$(2,633,422)</w:t>
            </w:r>
          </w:p>
        </w:tc>
      </w:tr>
      <w:tr>
        <w:trPr>
          <w:trHeight w:val="202"/>
        </w:trPr>
        <w:tc>
          <w:tcPr>
            <w:tcW w:w="12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w w:val="94"/>
              </w:rPr>
              <w:t>Net (loss)</w:t>
            </w: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5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(165,025)</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(165,025)</w:t>
            </w:r>
          </w:p>
        </w:tc>
      </w:tr>
      <w:tr>
        <w:trPr>
          <w:trHeight w:val="202"/>
        </w:trPr>
        <w:tc>
          <w:tcPr>
            <w:tcW w:w="310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rPr>
              <w:t>Issuance of common stock</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100" w:type="dxa"/>
            <w:vAlign w:val="bottom"/>
            <w:gridSpan w:val="2"/>
          </w:tcPr>
          <w:p>
            <w:pPr>
              <w:ind w:left="420"/>
              <w:spacing w:after="0" w:line="202" w:lineRule="exact"/>
              <w:rPr>
                <w:sz w:val="20"/>
                <w:szCs w:val="20"/>
                <w:color w:val="auto"/>
              </w:rPr>
            </w:pPr>
            <w:r>
              <w:rPr>
                <w:rFonts w:ascii="Courier New" w:cs="Courier New" w:eastAsia="Courier New" w:hAnsi="Courier New"/>
                <w:sz w:val="18"/>
                <w:szCs w:val="18"/>
                <w:color w:val="auto"/>
              </w:rPr>
              <w:t>for services (Note 6)</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24</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696</w:t>
            </w:r>
          </w:p>
        </w:tc>
        <w:tc>
          <w:tcPr>
            <w:tcW w:w="15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720</w:t>
            </w:r>
          </w:p>
        </w:tc>
      </w:tr>
      <w:tr>
        <w:trPr>
          <w:trHeight w:val="202"/>
        </w:trPr>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5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1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Balance, September 30, 1998</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114</w:t>
            </w: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3,215</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6,835,290</w:t>
            </w:r>
          </w:p>
        </w:tc>
        <w:tc>
          <w:tcPr>
            <w:tcW w:w="15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(9,636,346)</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(2,797,727)</w:t>
            </w:r>
          </w:p>
        </w:tc>
      </w:tr>
      <w:tr>
        <w:trPr>
          <w:trHeight w:val="202"/>
        </w:trPr>
        <w:tc>
          <w:tcPr>
            <w:tcW w:w="12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w w:val="94"/>
              </w:rPr>
              <w:t>Net income</w:t>
            </w: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5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593,003</w:t>
            </w:r>
          </w:p>
        </w:tc>
        <w:tc>
          <w:tcPr>
            <w:tcW w:w="13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593,003</w:t>
            </w:r>
          </w:p>
        </w:tc>
      </w:tr>
      <w:tr>
        <w:trPr>
          <w:trHeight w:val="202"/>
        </w:trPr>
        <w:tc>
          <w:tcPr>
            <w:tcW w:w="3520" w:type="dxa"/>
            <w:vAlign w:val="bottom"/>
            <w:gridSpan w:val="3"/>
          </w:tcPr>
          <w:p>
            <w:pPr>
              <w:ind w:left="220"/>
              <w:spacing w:after="0" w:line="202" w:lineRule="exact"/>
              <w:rPr>
                <w:sz w:val="20"/>
                <w:szCs w:val="20"/>
                <w:color w:val="auto"/>
              </w:rPr>
            </w:pPr>
            <w:r>
              <w:rPr>
                <w:rFonts w:ascii="Courier New" w:cs="Courier New" w:eastAsia="Courier New" w:hAnsi="Courier New"/>
                <w:sz w:val="18"/>
                <w:szCs w:val="18"/>
                <w:color w:val="auto"/>
              </w:rPr>
              <w:t>Issuance of common stock for: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100" w:type="dxa"/>
            <w:vAlign w:val="bottom"/>
            <w:gridSpan w:val="2"/>
          </w:tcPr>
          <w:p>
            <w:pPr>
              <w:ind w:left="420"/>
              <w:spacing w:after="0" w:line="202" w:lineRule="exact"/>
              <w:rPr>
                <w:sz w:val="20"/>
                <w:szCs w:val="20"/>
                <w:color w:val="auto"/>
              </w:rPr>
            </w:pPr>
            <w:r>
              <w:rPr>
                <w:rFonts w:ascii="Courier New" w:cs="Courier New" w:eastAsia="Courier New" w:hAnsi="Courier New"/>
                <w:sz w:val="18"/>
                <w:szCs w:val="18"/>
                <w:color w:val="auto"/>
              </w:rPr>
              <w:t>Satisfaction of Company</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100" w:type="dxa"/>
            <w:vAlign w:val="bottom"/>
            <w:gridSpan w:val="2"/>
          </w:tcPr>
          <w:p>
            <w:pPr>
              <w:ind w:left="640"/>
              <w:spacing w:after="0" w:line="202" w:lineRule="exact"/>
              <w:rPr>
                <w:sz w:val="20"/>
                <w:szCs w:val="20"/>
                <w:color w:val="auto"/>
              </w:rPr>
            </w:pPr>
            <w:r>
              <w:rPr>
                <w:rFonts w:ascii="Courier New" w:cs="Courier New" w:eastAsia="Courier New" w:hAnsi="Courier New"/>
                <w:sz w:val="18"/>
                <w:szCs w:val="18"/>
                <w:color w:val="auto"/>
              </w:rPr>
              <w:t>liabilities (Note 3):</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1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Related parties,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100" w:type="dxa"/>
            <w:vAlign w:val="bottom"/>
            <w:gridSpan w:val="2"/>
          </w:tcPr>
          <w:p>
            <w:pPr>
              <w:ind w:left="1060"/>
              <w:spacing w:after="0" w:line="202" w:lineRule="exact"/>
              <w:rPr>
                <w:sz w:val="20"/>
                <w:szCs w:val="20"/>
                <w:color w:val="auto"/>
              </w:rPr>
            </w:pPr>
            <w:r>
              <w:rPr>
                <w:rFonts w:ascii="Courier New" w:cs="Courier New" w:eastAsia="Courier New" w:hAnsi="Courier New"/>
                <w:sz w:val="18"/>
                <w:szCs w:val="18"/>
                <w:color w:val="auto"/>
              </w:rPr>
              <w:t>including</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100" w:type="dxa"/>
            <w:vAlign w:val="bottom"/>
            <w:gridSpan w:val="2"/>
          </w:tcPr>
          <w:p>
            <w:pPr>
              <w:ind w:left="1060"/>
              <w:spacing w:after="0" w:line="202" w:lineRule="exact"/>
              <w:rPr>
                <w:sz w:val="20"/>
                <w:szCs w:val="20"/>
                <w:color w:val="auto"/>
              </w:rPr>
            </w:pPr>
            <w:r>
              <w:rPr>
                <w:rFonts w:ascii="Courier New" w:cs="Courier New" w:eastAsia="Courier New" w:hAnsi="Courier New"/>
                <w:sz w:val="18"/>
                <w:szCs w:val="18"/>
                <w:color w:val="auto"/>
              </w:rPr>
              <w:t>shareholders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582</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574,580</w:t>
            </w:r>
          </w:p>
        </w:tc>
        <w:tc>
          <w:tcPr>
            <w:tcW w:w="15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575,162</w:t>
            </w:r>
          </w:p>
        </w:tc>
      </w:tr>
      <w:tr>
        <w:trPr>
          <w:trHeight w:val="202"/>
        </w:trPr>
        <w:tc>
          <w:tcPr>
            <w:tcW w:w="31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Others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1,104</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32,028</w:t>
            </w:r>
          </w:p>
        </w:tc>
        <w:tc>
          <w:tcPr>
            <w:tcW w:w="15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33,132</w:t>
            </w:r>
          </w:p>
        </w:tc>
      </w:tr>
      <w:tr>
        <w:trPr>
          <w:trHeight w:val="202"/>
        </w:trPr>
        <w:tc>
          <w:tcPr>
            <w:tcW w:w="3100" w:type="dxa"/>
            <w:vAlign w:val="bottom"/>
            <w:gridSpan w:val="2"/>
          </w:tcPr>
          <w:p>
            <w:pPr>
              <w:ind w:left="420"/>
              <w:spacing w:after="0" w:line="202" w:lineRule="exact"/>
              <w:rPr>
                <w:sz w:val="20"/>
                <w:szCs w:val="20"/>
                <w:color w:val="auto"/>
              </w:rPr>
            </w:pPr>
            <w:r>
              <w:rPr>
                <w:rFonts w:ascii="Courier New" w:cs="Courier New" w:eastAsia="Courier New" w:hAnsi="Courier New"/>
                <w:sz w:val="18"/>
                <w:szCs w:val="18"/>
                <w:color w:val="auto"/>
              </w:rPr>
              <w:t>Services (Note 6)</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11</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319</w:t>
            </w:r>
          </w:p>
        </w:tc>
        <w:tc>
          <w:tcPr>
            <w:tcW w:w="15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330</w:t>
            </w:r>
          </w:p>
        </w:tc>
      </w:tr>
      <w:tr>
        <w:trPr>
          <w:trHeight w:val="202"/>
        </w:trPr>
        <w:tc>
          <w:tcPr>
            <w:tcW w:w="3520" w:type="dxa"/>
            <w:vAlign w:val="bottom"/>
            <w:gridSpan w:val="3"/>
          </w:tcPr>
          <w:p>
            <w:pPr>
              <w:ind w:left="220"/>
              <w:spacing w:after="0" w:line="202" w:lineRule="exact"/>
              <w:rPr>
                <w:sz w:val="20"/>
                <w:szCs w:val="20"/>
                <w:color w:val="auto"/>
              </w:rPr>
            </w:pPr>
            <w:r>
              <w:rPr>
                <w:rFonts w:ascii="Courier New" w:cs="Courier New" w:eastAsia="Courier New" w:hAnsi="Courier New"/>
                <w:sz w:val="18"/>
                <w:szCs w:val="18"/>
                <w:color w:val="auto"/>
              </w:rPr>
              <w:t>Issuance of Series B preferred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100" w:type="dxa"/>
            <w:vAlign w:val="bottom"/>
            <w:gridSpan w:val="2"/>
          </w:tcPr>
          <w:p>
            <w:pPr>
              <w:ind w:left="420"/>
              <w:spacing w:after="0" w:line="202" w:lineRule="exact"/>
              <w:rPr>
                <w:sz w:val="20"/>
                <w:szCs w:val="20"/>
                <w:color w:val="auto"/>
              </w:rPr>
            </w:pPr>
            <w:r>
              <w:rPr>
                <w:rFonts w:ascii="Courier New" w:cs="Courier New" w:eastAsia="Courier New" w:hAnsi="Courier New"/>
                <w:sz w:val="18"/>
                <w:szCs w:val="18"/>
                <w:color w:val="auto"/>
                <w:w w:val="98"/>
              </w:rPr>
              <w:t>stock for satisfaction of</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520" w:type="dxa"/>
            <w:vAlign w:val="bottom"/>
            <w:gridSpan w:val="3"/>
          </w:tcPr>
          <w:p>
            <w:pPr>
              <w:ind w:left="420"/>
              <w:spacing w:after="0" w:line="202" w:lineRule="exact"/>
              <w:rPr>
                <w:sz w:val="20"/>
                <w:szCs w:val="20"/>
                <w:color w:val="auto"/>
              </w:rPr>
            </w:pPr>
            <w:r>
              <w:rPr>
                <w:rFonts w:ascii="Courier New" w:cs="Courier New" w:eastAsia="Courier New" w:hAnsi="Courier New"/>
                <w:sz w:val="18"/>
                <w:szCs w:val="18"/>
                <w:color w:val="auto"/>
              </w:rPr>
              <w:t>Company liabilities (Note 4)</w:t>
            </w:r>
          </w:p>
        </w:tc>
        <w:tc>
          <w:tcPr>
            <w:tcW w:w="26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598,000</w:t>
            </w:r>
          </w:p>
        </w:tc>
        <w:tc>
          <w:tcPr>
            <w:tcW w:w="156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600,000</w:t>
            </w:r>
          </w:p>
        </w:tc>
      </w:tr>
      <w:tr>
        <w:trPr>
          <w:trHeight w:val="202"/>
        </w:trPr>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5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1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Balance, September 30, 1999</w:t>
            </w:r>
          </w:p>
        </w:tc>
        <w:tc>
          <w:tcPr>
            <w:tcW w:w="420" w:type="dxa"/>
            <w:vAlign w:val="bottom"/>
          </w:tcPr>
          <w:p>
            <w:pPr>
              <w:spacing w:after="0"/>
              <w:rPr>
                <w:sz w:val="17"/>
                <w:szCs w:val="17"/>
                <w:color w:val="auto"/>
              </w:rPr>
            </w:pPr>
          </w:p>
        </w:tc>
        <w:tc>
          <w:tcPr>
            <w:tcW w:w="26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114</w:t>
            </w:r>
          </w:p>
        </w:tc>
        <w:tc>
          <w:tcPr>
            <w:tcW w:w="22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$ 4,912</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$ 8,040,217</w:t>
            </w:r>
          </w:p>
        </w:tc>
        <w:tc>
          <w:tcPr>
            <w:tcW w:w="15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 (9,043,343)</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(996,100)</w:t>
            </w:r>
          </w:p>
        </w:tc>
      </w:tr>
      <w:tr>
        <w:trPr>
          <w:trHeight w:val="202"/>
        </w:trPr>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15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tabs>
          <w:tab w:leader="none" w:pos="520" w:val="left"/>
          <w:tab w:leader="none" w:pos="1240" w:val="left"/>
          <w:tab w:leader="none" w:pos="1660" w:val="left"/>
          <w:tab w:leader="none" w:pos="2820" w:val="left"/>
        </w:tabs>
        <w:rPr>
          <w:sz w:val="20"/>
          <w:szCs w:val="20"/>
          <w:color w:val="auto"/>
        </w:rPr>
      </w:pPr>
      <w:r>
        <w:rPr>
          <w:rFonts w:ascii="Courier New" w:cs="Courier New" w:eastAsia="Courier New" w:hAnsi="Courier New"/>
          <w:sz w:val="18"/>
          <w:szCs w:val="18"/>
          <w:color w:val="auto"/>
        </w:rPr>
        <w:t>See</w:t>
        <w:tab/>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0" w:lineRule="exact"/>
        <w:rPr>
          <w:sz w:val="20"/>
          <w:szCs w:val="20"/>
          <w:color w:val="auto"/>
        </w:rPr>
      </w:pP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1340"/>
          </w:cols>
          <w:pgMar w:left="320" w:top="91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rPr>
              <w:t>INTERACTIVE</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INC.</w:t>
            </w: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4"/>
        </w:trPr>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rPr>
              <w:t>STATEMENTS</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5680" w:type="dxa"/>
            <w:vAlign w:val="bottom"/>
            <w:gridSpan w:val="2"/>
          </w:tcPr>
          <w:p>
            <w:pPr>
              <w:spacing w:after="0"/>
              <w:rPr>
                <w:sz w:val="20"/>
                <w:szCs w:val="20"/>
                <w:color w:val="auto"/>
              </w:rPr>
            </w:pPr>
            <w:r>
              <w:rPr>
                <w:rFonts w:ascii="Courier New" w:cs="Courier New" w:eastAsia="Courier New" w:hAnsi="Courier New"/>
                <w:sz w:val="18"/>
                <w:szCs w:val="18"/>
                <w:color w:val="auto"/>
              </w:rPr>
              <w:t>CASH  FLOWS</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540" w:type="dxa"/>
            <w:vAlign w:val="bottom"/>
          </w:tcPr>
          <w:p>
            <w:pPr>
              <w:spacing w:after="0" w:line="202" w:lineRule="exact"/>
              <w:rPr>
                <w:sz w:val="20"/>
                <w:szCs w:val="20"/>
                <w:color w:val="auto"/>
              </w:rPr>
            </w:pPr>
            <w:r>
              <w:rPr>
                <w:rFonts w:ascii="Courier New" w:cs="Courier New" w:eastAsia="Courier New" w:hAnsi="Courier New"/>
                <w:sz w:val="18"/>
                <w:szCs w:val="18"/>
                <w:color w:val="auto"/>
                <w:w w:val="96"/>
              </w:rPr>
              <w:t>YEARS</w:t>
            </w:r>
          </w:p>
        </w:tc>
        <w:tc>
          <w:tcPr>
            <w:tcW w:w="72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w w:val="92"/>
              </w:rPr>
              <w:t>ENDED</w:t>
            </w:r>
          </w:p>
        </w:tc>
        <w:tc>
          <w:tcPr>
            <w:tcW w:w="138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rPr>
              <w:t>SEPTEMBER</w:t>
            </w:r>
          </w:p>
        </w:tc>
        <w:tc>
          <w:tcPr>
            <w:tcW w:w="4720" w:type="dxa"/>
            <w:vAlign w:val="bottom"/>
          </w:tcPr>
          <w:p>
            <w:pPr>
              <w:spacing w:after="0" w:line="202" w:lineRule="exact"/>
              <w:rPr>
                <w:sz w:val="20"/>
                <w:szCs w:val="20"/>
                <w:color w:val="auto"/>
              </w:rPr>
            </w:pPr>
            <w:r>
              <w:rPr>
                <w:rFonts w:ascii="Courier New" w:cs="Courier New" w:eastAsia="Courier New" w:hAnsi="Courier New"/>
                <w:sz w:val="18"/>
                <w:szCs w:val="18"/>
                <w:color w:val="auto"/>
              </w:rPr>
              <w:t>30,  1999  AND  1998</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6"/>
        </w:trPr>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r>
      <w:tr>
        <w:trPr>
          <w:trHeight w:val="202"/>
        </w:trPr>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404"/>
        </w:trPr>
        <w:tc>
          <w:tcPr>
            <w:tcW w:w="7360" w:type="dxa"/>
            <w:vAlign w:val="bottom"/>
            <w:gridSpan w:val="5"/>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2640" w:type="dxa"/>
            <w:vAlign w:val="bottom"/>
            <w:gridSpan w:val="4"/>
          </w:tcPr>
          <w:p>
            <w:pPr>
              <w:ind w:left="220"/>
              <w:spacing w:after="0" w:line="202" w:lineRule="exact"/>
              <w:rPr>
                <w:sz w:val="20"/>
                <w:szCs w:val="20"/>
                <w:color w:val="auto"/>
              </w:rPr>
            </w:pPr>
            <w:r>
              <w:rPr>
                <w:rFonts w:ascii="Courier New" w:cs="Courier New" w:eastAsia="Courier New" w:hAnsi="Courier New"/>
                <w:sz w:val="18"/>
                <w:szCs w:val="18"/>
                <w:color w:val="auto"/>
              </w:rPr>
              <w:t>Net income (loss)</w:t>
            </w:r>
          </w:p>
        </w:tc>
        <w:tc>
          <w:tcPr>
            <w:tcW w:w="4720" w:type="dxa"/>
            <w:vAlign w:val="bottom"/>
          </w:tcPr>
          <w:p>
            <w:pPr>
              <w:spacing w:after="0"/>
              <w:rPr>
                <w:sz w:val="17"/>
                <w:szCs w:val="17"/>
                <w:color w:val="auto"/>
              </w:rPr>
            </w:pPr>
          </w:p>
        </w:tc>
        <w:tc>
          <w:tcPr>
            <w:tcW w:w="2000" w:type="dxa"/>
            <w:vAlign w:val="bottom"/>
            <w:gridSpan w:val="2"/>
          </w:tcPr>
          <w:p>
            <w:pPr>
              <w:jc w:val="right"/>
              <w:ind w:right="132"/>
              <w:spacing w:after="0" w:line="202" w:lineRule="exact"/>
              <w:rPr>
                <w:sz w:val="20"/>
                <w:szCs w:val="20"/>
                <w:color w:val="auto"/>
              </w:rPr>
            </w:pPr>
            <w:r>
              <w:rPr>
                <w:rFonts w:ascii="Courier New" w:cs="Courier New" w:eastAsia="Courier New" w:hAnsi="Courier New"/>
                <w:sz w:val="18"/>
                <w:szCs w:val="18"/>
                <w:color w:val="auto"/>
              </w:rPr>
              <w:t>$ 593,003</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$(165,025)</w:t>
            </w:r>
          </w:p>
        </w:tc>
      </w:tr>
      <w:tr>
        <w:trPr>
          <w:trHeight w:val="202"/>
        </w:trPr>
        <w:tc>
          <w:tcPr>
            <w:tcW w:w="7360" w:type="dxa"/>
            <w:vAlign w:val="bottom"/>
            <w:gridSpan w:val="5"/>
          </w:tcPr>
          <w:p>
            <w:pPr>
              <w:ind w:left="220"/>
              <w:spacing w:after="0" w:line="202" w:lineRule="exact"/>
              <w:rPr>
                <w:sz w:val="20"/>
                <w:szCs w:val="20"/>
                <w:color w:val="auto"/>
              </w:rPr>
            </w:pPr>
            <w:r>
              <w:rPr>
                <w:rFonts w:ascii="Courier New" w:cs="Courier New" w:eastAsia="Courier New" w:hAnsi="Courier New"/>
                <w:sz w:val="18"/>
                <w:szCs w:val="18"/>
                <w:color w:val="auto"/>
              </w:rPr>
              <w:t>Adjustments to reconcile net income (loss) to net</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7360" w:type="dxa"/>
            <w:vAlign w:val="bottom"/>
            <w:gridSpan w:val="5"/>
          </w:tcPr>
          <w:p>
            <w:pPr>
              <w:ind w:left="420"/>
              <w:spacing w:after="0" w:line="202" w:lineRule="exact"/>
              <w:rPr>
                <w:sz w:val="20"/>
                <w:szCs w:val="20"/>
                <w:color w:val="auto"/>
              </w:rPr>
            </w:pPr>
            <w:r>
              <w:rPr>
                <w:rFonts w:ascii="Courier New" w:cs="Courier New" w:eastAsia="Courier New" w:hAnsi="Courier New"/>
                <w:sz w:val="18"/>
                <w:szCs w:val="18"/>
                <w:color w:val="auto"/>
              </w:rPr>
              <w:t>cash provided by (used in) operating activities:</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1680" w:type="dxa"/>
            <w:vAlign w:val="bottom"/>
            <w:gridSpan w:val="3"/>
          </w:tcPr>
          <w:p>
            <w:pPr>
              <w:ind w:left="420"/>
              <w:spacing w:after="0" w:line="202" w:lineRule="exact"/>
              <w:rPr>
                <w:sz w:val="20"/>
                <w:szCs w:val="20"/>
                <w:color w:val="auto"/>
              </w:rPr>
            </w:pPr>
            <w:r>
              <w:rPr>
                <w:rFonts w:ascii="Courier New" w:cs="Courier New" w:eastAsia="Courier New" w:hAnsi="Courier New"/>
                <w:sz w:val="18"/>
                <w:szCs w:val="18"/>
                <w:color w:val="auto"/>
                <w:w w:val="95"/>
              </w:rPr>
              <w:t>Depreciation</w:t>
            </w: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8,120</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9,188</w:t>
            </w:r>
          </w:p>
        </w:tc>
      </w:tr>
      <w:tr>
        <w:trPr>
          <w:trHeight w:val="202"/>
        </w:trPr>
        <w:tc>
          <w:tcPr>
            <w:tcW w:w="7360" w:type="dxa"/>
            <w:vAlign w:val="bottom"/>
            <w:gridSpan w:val="5"/>
          </w:tcPr>
          <w:p>
            <w:pPr>
              <w:ind w:left="420"/>
              <w:spacing w:after="0" w:line="202" w:lineRule="exact"/>
              <w:rPr>
                <w:sz w:val="20"/>
                <w:szCs w:val="20"/>
                <w:color w:val="auto"/>
              </w:rPr>
            </w:pPr>
            <w:r>
              <w:rPr>
                <w:rFonts w:ascii="Courier New" w:cs="Courier New" w:eastAsia="Courier New" w:hAnsi="Courier New"/>
                <w:sz w:val="18"/>
                <w:szCs w:val="18"/>
                <w:color w:val="auto"/>
              </w:rPr>
              <w:t>Provision for doubtful accounts</w:t>
            </w: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1,714</w:t>
            </w:r>
          </w:p>
        </w:tc>
      </w:tr>
      <w:tr>
        <w:trPr>
          <w:trHeight w:val="202"/>
        </w:trPr>
        <w:tc>
          <w:tcPr>
            <w:tcW w:w="7360" w:type="dxa"/>
            <w:vAlign w:val="bottom"/>
            <w:gridSpan w:val="5"/>
          </w:tcPr>
          <w:p>
            <w:pPr>
              <w:ind w:left="420"/>
              <w:spacing w:after="0" w:line="202" w:lineRule="exact"/>
              <w:rPr>
                <w:sz w:val="20"/>
                <w:szCs w:val="20"/>
                <w:color w:val="auto"/>
              </w:rPr>
            </w:pPr>
            <w:r>
              <w:rPr>
                <w:rFonts w:ascii="Courier New" w:cs="Courier New" w:eastAsia="Courier New" w:hAnsi="Courier New"/>
                <w:sz w:val="18"/>
                <w:szCs w:val="18"/>
                <w:color w:val="auto"/>
              </w:rPr>
              <w:t>Issuance of common stock for services</w:t>
            </w: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330</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720</w:t>
            </w:r>
          </w:p>
        </w:tc>
      </w:tr>
      <w:tr>
        <w:trPr>
          <w:trHeight w:val="202"/>
        </w:trPr>
        <w:tc>
          <w:tcPr>
            <w:tcW w:w="7360" w:type="dxa"/>
            <w:vAlign w:val="bottom"/>
            <w:gridSpan w:val="5"/>
          </w:tcPr>
          <w:p>
            <w:pPr>
              <w:ind w:left="420"/>
              <w:spacing w:after="0" w:line="202" w:lineRule="exact"/>
              <w:rPr>
                <w:sz w:val="20"/>
                <w:szCs w:val="20"/>
                <w:color w:val="auto"/>
              </w:rPr>
            </w:pPr>
            <w:r>
              <w:rPr>
                <w:rFonts w:ascii="Courier New" w:cs="Courier New" w:eastAsia="Courier New" w:hAnsi="Courier New"/>
                <w:sz w:val="18"/>
                <w:szCs w:val="18"/>
                <w:color w:val="auto"/>
              </w:rPr>
              <w:t>Gain on settlement of Company liabilities</w:t>
            </w:r>
          </w:p>
        </w:tc>
        <w:tc>
          <w:tcPr>
            <w:tcW w:w="94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(961,462)</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7360" w:type="dxa"/>
            <w:vAlign w:val="bottom"/>
            <w:gridSpan w:val="5"/>
          </w:tcPr>
          <w:p>
            <w:pPr>
              <w:ind w:left="420"/>
              <w:spacing w:after="0" w:line="202" w:lineRule="exact"/>
              <w:rPr>
                <w:sz w:val="20"/>
                <w:szCs w:val="20"/>
                <w:color w:val="auto"/>
              </w:rPr>
            </w:pPr>
            <w:r>
              <w:rPr>
                <w:rFonts w:ascii="Courier New" w:cs="Courier New" w:eastAsia="Courier New" w:hAnsi="Courier New"/>
                <w:sz w:val="18"/>
                <w:szCs w:val="18"/>
                <w:color w:val="auto"/>
              </w:rPr>
              <w:t>Debt conversion expense settled by issuance of stock</w:t>
            </w: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260,560</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7360" w:type="dxa"/>
            <w:vAlign w:val="bottom"/>
            <w:gridSpan w:val="5"/>
          </w:tcPr>
          <w:p>
            <w:pPr>
              <w:ind w:left="420"/>
              <w:spacing w:after="0" w:line="202" w:lineRule="exact"/>
              <w:rPr>
                <w:sz w:val="20"/>
                <w:szCs w:val="20"/>
                <w:color w:val="auto"/>
              </w:rPr>
            </w:pPr>
            <w:r>
              <w:rPr>
                <w:rFonts w:ascii="Courier New" w:cs="Courier New" w:eastAsia="Courier New" w:hAnsi="Courier New"/>
                <w:sz w:val="18"/>
                <w:szCs w:val="18"/>
                <w:color w:val="auto"/>
              </w:rPr>
              <w:t>Changes in working capital components:</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6820" w:type="dxa"/>
            <w:vAlign w:val="bottom"/>
            <w:gridSpan w:val="4"/>
          </w:tcPr>
          <w:p>
            <w:pPr>
              <w:ind w:left="100"/>
              <w:spacing w:after="0" w:line="202" w:lineRule="exact"/>
              <w:rPr>
                <w:sz w:val="20"/>
                <w:szCs w:val="20"/>
                <w:color w:val="auto"/>
              </w:rPr>
            </w:pPr>
            <w:r>
              <w:rPr>
                <w:rFonts w:ascii="Courier New" w:cs="Courier New" w:eastAsia="Courier New" w:hAnsi="Courier New"/>
                <w:sz w:val="18"/>
                <w:szCs w:val="18"/>
                <w:color w:val="auto"/>
              </w:rPr>
              <w:t>(Increase) decrease in:</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2100" w:type="dxa"/>
            <w:vAlign w:val="bottom"/>
            <w:gridSpan w:val="3"/>
          </w:tcPr>
          <w:p>
            <w:pPr>
              <w:ind w:left="100"/>
              <w:spacing w:after="0" w:line="202" w:lineRule="exact"/>
              <w:rPr>
                <w:sz w:val="20"/>
                <w:szCs w:val="20"/>
                <w:color w:val="auto"/>
              </w:rPr>
            </w:pPr>
            <w:r>
              <w:rPr>
                <w:rFonts w:ascii="Courier New" w:cs="Courier New" w:eastAsia="Courier New" w:hAnsi="Courier New"/>
                <w:sz w:val="18"/>
                <w:szCs w:val="18"/>
                <w:color w:val="auto"/>
                <w:w w:val="96"/>
              </w:rPr>
              <w:t>Accounts receivable</w:t>
            </w: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2,551</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5,529</w:t>
            </w:r>
          </w:p>
        </w:tc>
      </w:tr>
      <w:tr>
        <w:trPr>
          <w:trHeight w:val="202"/>
        </w:trPr>
        <w:tc>
          <w:tcPr>
            <w:tcW w:w="540" w:type="dxa"/>
            <w:vAlign w:val="bottom"/>
          </w:tcPr>
          <w:p>
            <w:pPr>
              <w:spacing w:after="0"/>
              <w:rPr>
                <w:sz w:val="17"/>
                <w:szCs w:val="17"/>
                <w:color w:val="auto"/>
              </w:rPr>
            </w:pPr>
          </w:p>
        </w:tc>
        <w:tc>
          <w:tcPr>
            <w:tcW w:w="2100" w:type="dxa"/>
            <w:vAlign w:val="bottom"/>
            <w:gridSpan w:val="3"/>
          </w:tcPr>
          <w:p>
            <w:pPr>
              <w:ind w:left="100"/>
              <w:spacing w:after="0" w:line="202" w:lineRule="exact"/>
              <w:rPr>
                <w:sz w:val="20"/>
                <w:szCs w:val="20"/>
                <w:color w:val="auto"/>
              </w:rPr>
            </w:pPr>
            <w:r>
              <w:rPr>
                <w:rFonts w:ascii="Courier New" w:cs="Courier New" w:eastAsia="Courier New" w:hAnsi="Courier New"/>
                <w:sz w:val="18"/>
                <w:szCs w:val="18"/>
                <w:color w:val="auto"/>
              </w:rPr>
              <w:t>Inventories</w:t>
            </w: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2,348</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(1,223)</w:t>
            </w:r>
          </w:p>
        </w:tc>
      </w:tr>
      <w:tr>
        <w:trPr>
          <w:trHeight w:val="202"/>
        </w:trPr>
        <w:tc>
          <w:tcPr>
            <w:tcW w:w="540" w:type="dxa"/>
            <w:vAlign w:val="bottom"/>
          </w:tcPr>
          <w:p>
            <w:pPr>
              <w:spacing w:after="0"/>
              <w:rPr>
                <w:sz w:val="17"/>
                <w:szCs w:val="17"/>
                <w:color w:val="auto"/>
              </w:rPr>
            </w:pPr>
          </w:p>
        </w:tc>
        <w:tc>
          <w:tcPr>
            <w:tcW w:w="6820" w:type="dxa"/>
            <w:vAlign w:val="bottom"/>
            <w:gridSpan w:val="4"/>
          </w:tcPr>
          <w:p>
            <w:pPr>
              <w:ind w:left="100"/>
              <w:spacing w:after="0" w:line="202" w:lineRule="exact"/>
              <w:rPr>
                <w:sz w:val="20"/>
                <w:szCs w:val="20"/>
                <w:color w:val="auto"/>
              </w:rPr>
            </w:pPr>
            <w:r>
              <w:rPr>
                <w:rFonts w:ascii="Courier New" w:cs="Courier New" w:eastAsia="Courier New" w:hAnsi="Courier New"/>
                <w:sz w:val="18"/>
                <w:szCs w:val="18"/>
                <w:color w:val="auto"/>
              </w:rPr>
              <w:t>Prepaid expenses and other assets</w:t>
            </w: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560</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(1,037)</w:t>
            </w:r>
          </w:p>
        </w:tc>
      </w:tr>
      <w:tr>
        <w:trPr>
          <w:trHeight w:val="202"/>
        </w:trPr>
        <w:tc>
          <w:tcPr>
            <w:tcW w:w="540" w:type="dxa"/>
            <w:vAlign w:val="bottom"/>
          </w:tcPr>
          <w:p>
            <w:pPr>
              <w:spacing w:after="0"/>
              <w:rPr>
                <w:sz w:val="17"/>
                <w:szCs w:val="17"/>
                <w:color w:val="auto"/>
              </w:rPr>
            </w:pPr>
          </w:p>
        </w:tc>
        <w:tc>
          <w:tcPr>
            <w:tcW w:w="6820" w:type="dxa"/>
            <w:vAlign w:val="bottom"/>
            <w:gridSpan w:val="4"/>
          </w:tcPr>
          <w:p>
            <w:pPr>
              <w:ind w:left="300"/>
              <w:spacing w:after="0" w:line="202" w:lineRule="exact"/>
              <w:rPr>
                <w:sz w:val="20"/>
                <w:szCs w:val="20"/>
                <w:color w:val="auto"/>
              </w:rPr>
            </w:pPr>
            <w:r>
              <w:rPr>
                <w:rFonts w:ascii="Courier New" w:cs="Courier New" w:eastAsia="Courier New" w:hAnsi="Courier New"/>
                <w:sz w:val="18"/>
                <w:szCs w:val="18"/>
                <w:color w:val="auto"/>
              </w:rPr>
              <w:t>Increase (decrease) in:</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2100" w:type="dxa"/>
            <w:vAlign w:val="bottom"/>
            <w:gridSpan w:val="3"/>
          </w:tcPr>
          <w:p>
            <w:pPr>
              <w:ind w:left="300"/>
              <w:spacing w:after="0" w:line="202" w:lineRule="exact"/>
              <w:rPr>
                <w:sz w:val="20"/>
                <w:szCs w:val="20"/>
                <w:color w:val="auto"/>
              </w:rPr>
            </w:pPr>
            <w:r>
              <w:rPr>
                <w:rFonts w:ascii="Courier New" w:cs="Courier New" w:eastAsia="Courier New" w:hAnsi="Courier New"/>
                <w:sz w:val="18"/>
                <w:szCs w:val="18"/>
                <w:color w:val="auto"/>
              </w:rPr>
              <w:t>Accounts payable</w:t>
            </w: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(49,947)</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(11,911)</w:t>
            </w:r>
          </w:p>
        </w:tc>
      </w:tr>
      <w:tr>
        <w:trPr>
          <w:trHeight w:val="202"/>
        </w:trPr>
        <w:tc>
          <w:tcPr>
            <w:tcW w:w="540" w:type="dxa"/>
            <w:vAlign w:val="bottom"/>
          </w:tcPr>
          <w:p>
            <w:pPr>
              <w:spacing w:after="0"/>
              <w:rPr>
                <w:sz w:val="17"/>
                <w:szCs w:val="17"/>
                <w:color w:val="auto"/>
              </w:rPr>
            </w:pPr>
          </w:p>
        </w:tc>
        <w:tc>
          <w:tcPr>
            <w:tcW w:w="2100" w:type="dxa"/>
            <w:vAlign w:val="bottom"/>
            <w:gridSpan w:val="3"/>
          </w:tcPr>
          <w:p>
            <w:pPr>
              <w:ind w:left="300"/>
              <w:spacing w:after="0" w:line="202" w:lineRule="exact"/>
              <w:rPr>
                <w:sz w:val="20"/>
                <w:szCs w:val="20"/>
                <w:color w:val="auto"/>
              </w:rPr>
            </w:pPr>
            <w:r>
              <w:rPr>
                <w:rFonts w:ascii="Courier New" w:cs="Courier New" w:eastAsia="Courier New" w:hAnsi="Courier New"/>
                <w:sz w:val="18"/>
                <w:szCs w:val="18"/>
                <w:color w:val="auto"/>
              </w:rPr>
              <w:t>Accrued expenses</w:t>
            </w: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108,719</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162,101</w:t>
            </w:r>
          </w:p>
        </w:tc>
      </w:tr>
      <w:tr>
        <w:trPr>
          <w:trHeight w:val="202"/>
        </w:trPr>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540" w:type="dxa"/>
            <w:vAlign w:val="bottom"/>
          </w:tcPr>
          <w:p>
            <w:pPr>
              <w:spacing w:after="0"/>
              <w:rPr>
                <w:sz w:val="17"/>
                <w:szCs w:val="17"/>
                <w:color w:val="auto"/>
              </w:rPr>
            </w:pPr>
          </w:p>
        </w:tc>
        <w:tc>
          <w:tcPr>
            <w:tcW w:w="6820" w:type="dxa"/>
            <w:vAlign w:val="bottom"/>
            <w:gridSpan w:val="4"/>
          </w:tcPr>
          <w:p>
            <w:pPr>
              <w:ind w:left="520"/>
              <w:spacing w:after="0" w:line="202"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94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(35,218)</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56</w:t>
            </w:r>
          </w:p>
        </w:tc>
      </w:tr>
      <w:tr>
        <w:trPr>
          <w:trHeight w:val="202"/>
        </w:trPr>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404"/>
        </w:trPr>
        <w:tc>
          <w:tcPr>
            <w:tcW w:w="7360" w:type="dxa"/>
            <w:vAlign w:val="bottom"/>
            <w:gridSpan w:val="5"/>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7360" w:type="dxa"/>
            <w:vAlign w:val="bottom"/>
            <w:gridSpan w:val="5"/>
          </w:tcPr>
          <w:p>
            <w:pPr>
              <w:ind w:left="220"/>
              <w:spacing w:after="0" w:line="202" w:lineRule="exact"/>
              <w:rPr>
                <w:sz w:val="20"/>
                <w:szCs w:val="20"/>
                <w:color w:val="auto"/>
              </w:rPr>
            </w:pPr>
            <w:r>
              <w:rPr>
                <w:rFonts w:ascii="Courier New" w:cs="Courier New" w:eastAsia="Courier New" w:hAnsi="Courier New"/>
                <w:sz w:val="18"/>
                <w:szCs w:val="18"/>
                <w:color w:val="auto"/>
              </w:rPr>
              <w:t>Net borrowings on related party notes payable</w:t>
            </w: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35,324</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7360" w:type="dxa"/>
            <w:vAlign w:val="bottom"/>
            <w:gridSpan w:val="5"/>
          </w:tcPr>
          <w:p>
            <w:pPr>
              <w:ind w:left="220"/>
              <w:spacing w:after="0" w:line="202" w:lineRule="exact"/>
              <w:rPr>
                <w:sz w:val="20"/>
                <w:szCs w:val="20"/>
                <w:color w:val="auto"/>
              </w:rPr>
            </w:pPr>
            <w:r>
              <w:rPr>
                <w:rFonts w:ascii="Courier New" w:cs="Courier New" w:eastAsia="Courier New" w:hAnsi="Courier New"/>
                <w:sz w:val="18"/>
                <w:szCs w:val="18"/>
                <w:color w:val="auto"/>
              </w:rPr>
              <w:t>Principal payments on long-term borrowings</w:t>
            </w:r>
          </w:p>
        </w:tc>
        <w:tc>
          <w:tcPr>
            <w:tcW w:w="94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(1,000)</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(203)</w:t>
            </w:r>
          </w:p>
        </w:tc>
      </w:tr>
      <w:tr>
        <w:trPr>
          <w:trHeight w:val="202"/>
        </w:trPr>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540" w:type="dxa"/>
            <w:vAlign w:val="bottom"/>
          </w:tcPr>
          <w:p>
            <w:pPr>
              <w:spacing w:after="0"/>
              <w:rPr>
                <w:sz w:val="17"/>
                <w:szCs w:val="17"/>
                <w:color w:val="auto"/>
              </w:rPr>
            </w:pPr>
          </w:p>
        </w:tc>
        <w:tc>
          <w:tcPr>
            <w:tcW w:w="6820" w:type="dxa"/>
            <w:vAlign w:val="bottom"/>
            <w:gridSpan w:val="4"/>
          </w:tcPr>
          <w:p>
            <w:pPr>
              <w:ind w:left="520"/>
              <w:spacing w:after="0" w:line="202"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34,324</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(203)</w:t>
            </w:r>
          </w:p>
        </w:tc>
      </w:tr>
      <w:tr>
        <w:trPr>
          <w:trHeight w:val="202"/>
        </w:trPr>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540" w:type="dxa"/>
            <w:vAlign w:val="bottom"/>
          </w:tcPr>
          <w:p>
            <w:pPr>
              <w:spacing w:after="0"/>
              <w:rPr>
                <w:sz w:val="17"/>
                <w:szCs w:val="17"/>
                <w:color w:val="auto"/>
              </w:rPr>
            </w:pPr>
          </w:p>
        </w:tc>
        <w:tc>
          <w:tcPr>
            <w:tcW w:w="6820" w:type="dxa"/>
            <w:vAlign w:val="bottom"/>
            <w:gridSpan w:val="4"/>
          </w:tcPr>
          <w:p>
            <w:pPr>
              <w:ind w:left="520"/>
              <w:spacing w:after="0" w:line="202" w:lineRule="exact"/>
              <w:rPr>
                <w:sz w:val="20"/>
                <w:szCs w:val="20"/>
                <w:color w:val="auto"/>
              </w:rPr>
            </w:pPr>
            <w:r>
              <w:rPr>
                <w:rFonts w:ascii="Courier New" w:cs="Courier New" w:eastAsia="Courier New" w:hAnsi="Courier New"/>
                <w:sz w:val="18"/>
                <w:szCs w:val="18"/>
                <w:color w:val="auto"/>
              </w:rPr>
              <w:t>NET (DECREASE) IN CASH</w:t>
            </w:r>
          </w:p>
        </w:tc>
        <w:tc>
          <w:tcPr>
            <w:tcW w:w="94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(894)</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(147)</w:t>
            </w:r>
          </w:p>
        </w:tc>
      </w:tr>
      <w:tr>
        <w:trPr>
          <w:trHeight w:val="404"/>
        </w:trPr>
        <w:tc>
          <w:tcPr>
            <w:tcW w:w="540" w:type="dxa"/>
            <w:vAlign w:val="bottom"/>
          </w:tcPr>
          <w:p>
            <w:pPr>
              <w:spacing w:after="0"/>
              <w:rPr>
                <w:sz w:val="20"/>
                <w:szCs w:val="20"/>
                <w:color w:val="auto"/>
              </w:rPr>
            </w:pPr>
            <w:r>
              <w:rPr>
                <w:rFonts w:ascii="Courier New" w:cs="Courier New" w:eastAsia="Courier New" w:hAnsi="Courier New"/>
                <w:sz w:val="18"/>
                <w:szCs w:val="18"/>
                <w:color w:val="auto"/>
              </w:rPr>
              <w:t>Cash</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126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rPr>
              <w:t>Beginning</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1,018</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1,165</w:t>
            </w:r>
          </w:p>
        </w:tc>
      </w:tr>
      <w:tr>
        <w:trPr>
          <w:trHeight w:val="202"/>
        </w:trPr>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126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rPr>
              <w:t>Ending</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940" w:type="dxa"/>
            <w:vAlign w:val="bottom"/>
          </w:tcPr>
          <w:p>
            <w:pPr>
              <w:ind w:left="840"/>
              <w:spacing w:after="0" w:line="202"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124</w:t>
            </w:r>
          </w:p>
        </w:tc>
        <w:tc>
          <w:tcPr>
            <w:tcW w:w="26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1,018</w:t>
            </w:r>
          </w:p>
        </w:tc>
      </w:tr>
      <w:tr>
        <w:trPr>
          <w:trHeight w:val="202"/>
        </w:trPr>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00" w:type="dxa"/>
            <w:vAlign w:val="bottom"/>
            <w:gridSpan w:val="2"/>
          </w:tcPr>
          <w:p>
            <w:pPr>
              <w:ind w:left="84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404"/>
        </w:trPr>
        <w:tc>
          <w:tcPr>
            <w:tcW w:w="7360" w:type="dxa"/>
            <w:vAlign w:val="bottom"/>
            <w:gridSpan w:val="5"/>
          </w:tcPr>
          <w:p>
            <w:pPr>
              <w:spacing w:after="0"/>
              <w:rPr>
                <w:sz w:val="20"/>
                <w:szCs w:val="20"/>
                <w:color w:val="auto"/>
              </w:rPr>
            </w:pPr>
            <w:r>
              <w:rPr>
                <w:rFonts w:ascii="Courier New" w:cs="Courier New" w:eastAsia="Courier New" w:hAnsi="Courier New"/>
                <w:sz w:val="18"/>
                <w:szCs w:val="18"/>
                <w:color w:val="auto"/>
              </w:rPr>
              <w:t>Supplemental Disclosures of Cash Flow Information</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2640" w:type="dxa"/>
            <w:vAlign w:val="bottom"/>
            <w:gridSpan w:val="4"/>
          </w:tcPr>
          <w:p>
            <w:pPr>
              <w:ind w:left="220"/>
              <w:spacing w:after="0" w:line="202" w:lineRule="exact"/>
              <w:rPr>
                <w:sz w:val="20"/>
                <w:szCs w:val="20"/>
                <w:color w:val="auto"/>
              </w:rPr>
            </w:pPr>
            <w:r>
              <w:rPr>
                <w:rFonts w:ascii="Courier New" w:cs="Courier New" w:eastAsia="Courier New" w:hAnsi="Courier New"/>
                <w:sz w:val="18"/>
                <w:szCs w:val="18"/>
                <w:color w:val="auto"/>
              </w:rPr>
              <w:t>Cash payments for:</w:t>
            </w: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1260" w:type="dxa"/>
            <w:vAlign w:val="bottom"/>
            <w:gridSpan w:val="2"/>
          </w:tcPr>
          <w:p>
            <w:pPr>
              <w:ind w:left="420"/>
              <w:spacing w:after="0" w:line="202" w:lineRule="exact"/>
              <w:rPr>
                <w:sz w:val="20"/>
                <w:szCs w:val="20"/>
                <w:color w:val="auto"/>
              </w:rPr>
            </w:pPr>
            <w:r>
              <w:rPr>
                <w:rFonts w:ascii="Courier New" w:cs="Courier New" w:eastAsia="Courier New" w:hAnsi="Courier New"/>
                <w:sz w:val="18"/>
                <w:szCs w:val="18"/>
                <w:color w:val="auto"/>
                <w:w w:val="94"/>
              </w:rPr>
              <w:t>Interest</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940" w:type="dxa"/>
            <w:vAlign w:val="bottom"/>
          </w:tcPr>
          <w:p>
            <w:pPr>
              <w:ind w:left="840"/>
              <w:spacing w:after="0" w:line="202"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802</w:t>
            </w:r>
          </w:p>
        </w:tc>
      </w:tr>
      <w:tr>
        <w:trPr>
          <w:trHeight w:val="202"/>
        </w:trPr>
        <w:tc>
          <w:tcPr>
            <w:tcW w:w="1680" w:type="dxa"/>
            <w:vAlign w:val="bottom"/>
            <w:gridSpan w:val="3"/>
          </w:tcPr>
          <w:p>
            <w:pPr>
              <w:ind w:left="420"/>
              <w:spacing w:after="0" w:line="202" w:lineRule="exact"/>
              <w:rPr>
                <w:sz w:val="20"/>
                <w:szCs w:val="20"/>
                <w:color w:val="auto"/>
              </w:rPr>
            </w:pPr>
            <w:r>
              <w:rPr>
                <w:rFonts w:ascii="Courier New" w:cs="Courier New" w:eastAsia="Courier New" w:hAnsi="Courier New"/>
                <w:sz w:val="18"/>
                <w:szCs w:val="18"/>
                <w:color w:val="auto"/>
                <w:w w:val="95"/>
              </w:rPr>
              <w:t>Income taxes</w:t>
            </w:r>
          </w:p>
        </w:tc>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606"/>
        </w:trPr>
        <w:tc>
          <w:tcPr>
            <w:tcW w:w="54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Notes</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Financial</w:t>
            </w:r>
          </w:p>
        </w:tc>
        <w:tc>
          <w:tcPr>
            <w:tcW w:w="4720" w:type="dxa"/>
            <w:vAlign w:val="bottom"/>
          </w:tcPr>
          <w:p>
            <w:pPr>
              <w:ind w:left="200"/>
              <w:spacing w:after="0"/>
              <w:rPr>
                <w:sz w:val="20"/>
                <w:szCs w:val="20"/>
                <w:color w:val="auto"/>
              </w:rPr>
            </w:pPr>
            <w:r>
              <w:rPr>
                <w:rFonts w:ascii="Courier New" w:cs="Courier New" w:eastAsia="Courier New" w:hAnsi="Courier New"/>
                <w:sz w:val="18"/>
                <w:szCs w:val="18"/>
                <w:color w:val="auto"/>
              </w:rPr>
              <w:t>Statements.</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06"/>
        </w:trPr>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20" w:type="dxa"/>
            <w:vAlign w:val="bottom"/>
          </w:tcPr>
          <w:p>
            <w:pPr>
              <w:ind w:left="1360"/>
              <w:spacing w:after="0"/>
              <w:rPr>
                <w:sz w:val="20"/>
                <w:szCs w:val="20"/>
                <w:color w:val="auto"/>
              </w:rPr>
            </w:pPr>
            <w:r>
              <w:rPr>
                <w:rFonts w:ascii="Courier New" w:cs="Courier New" w:eastAsia="Courier New" w:hAnsi="Courier New"/>
                <w:sz w:val="18"/>
                <w:szCs w:val="18"/>
                <w:color w:val="auto"/>
              </w:rPr>
              <w:t>F-5</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520"/>
          </w:cols>
          <w:pgMar w:left="320" w:top="917" w:right="1059" w:bottom="1440" w:gutter="0" w:footer="0" w:header="0"/>
        </w:sectPr>
      </w:pPr>
    </w:p>
    <w:bookmarkStart w:id="18" w:name="page19"/>
    <w:bookmarkEnd w:id="18"/>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720" w:val="left"/>
          <w:tab w:leader="none" w:pos="1140" w:val="left"/>
          <w:tab w:leader="none" w:pos="2300" w:val="left"/>
        </w:tabs>
        <w:rPr>
          <w:sz w:val="20"/>
          <w:szCs w:val="20"/>
          <w:color w:val="auto"/>
        </w:rPr>
      </w:pPr>
      <w:r>
        <w:rPr>
          <w:rFonts w:ascii="Courier New" w:cs="Courier New" w:eastAsia="Courier New" w:hAnsi="Courier New"/>
          <w:sz w:val="18"/>
          <w:szCs w:val="18"/>
          <w:color w:val="auto"/>
        </w:rPr>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1.</w:t>
      </w:r>
      <w:r>
        <w:rPr>
          <w:rFonts w:ascii="Courier New" w:cs="Courier New" w:eastAsia="Courier New" w:hAnsi="Courier New"/>
          <w:sz w:val="16"/>
          <w:szCs w:val="16"/>
          <w:color w:val="auto"/>
        </w:rPr>
        <w:t>NATURE  OF  BUSINESS  AND  SIGNIFICANT  ACCOUNTING  POLICIES</w:t>
      </w:r>
    </w:p>
    <w:p>
      <w:pPr>
        <w:spacing w:after="0" w:line="200" w:lineRule="exact"/>
        <w:rPr>
          <w:sz w:val="20"/>
          <w:szCs w:val="20"/>
          <w:color w:val="auto"/>
        </w:rPr>
      </w:pPr>
    </w:p>
    <w:p>
      <w:pPr>
        <w:spacing w:after="0"/>
        <w:tabs>
          <w:tab w:leader="none" w:pos="820" w:val="left"/>
          <w:tab w:leader="none" w:pos="2300" w:val="left"/>
        </w:tabs>
        <w:rPr>
          <w:sz w:val="20"/>
          <w:szCs w:val="20"/>
          <w:color w:val="auto"/>
        </w:rPr>
      </w:pPr>
      <w:r>
        <w:rPr>
          <w:rFonts w:ascii="Courier New" w:cs="Courier New" w:eastAsia="Courier New" w:hAnsi="Courier New"/>
          <w:sz w:val="18"/>
          <w:szCs w:val="18"/>
          <w:color w:val="auto"/>
        </w:rPr>
        <w:t>Nature</w:t>
        <w:tab/>
        <w:t>of business:</w:t>
      </w:r>
      <w:r>
        <w:rPr>
          <w:sz w:val="20"/>
          <w:szCs w:val="20"/>
          <w:color w:val="auto"/>
        </w:rPr>
        <w:tab/>
      </w:r>
      <w:r>
        <w:rPr>
          <w:rFonts w:ascii="Courier New" w:cs="Courier New" w:eastAsia="Courier New" w:hAnsi="Courier New"/>
          <w:sz w:val="16"/>
          <w:szCs w:val="16"/>
          <w:color w:val="auto"/>
        </w:rPr>
        <w:t>InterActive Inc. (the Company) developed, manufactured and</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marketed, nationally and internationally, peripheral hardware products that enable users to create and send messages across local and wide area networks. It is producing no products or significant services currently and is evaluating alternative plans for future operations (Note 2).</w:t>
      </w:r>
    </w:p>
    <w:p>
      <w:pPr>
        <w:spacing w:after="0" w:line="202" w:lineRule="exact"/>
        <w:rPr>
          <w:sz w:val="20"/>
          <w:szCs w:val="20"/>
          <w:color w:val="auto"/>
        </w:rPr>
      </w:pPr>
    </w:p>
    <w:p>
      <w:pPr>
        <w:spacing w:after="0"/>
        <w:tabs>
          <w:tab w:leader="none" w:pos="300" w:val="left"/>
          <w:tab w:leader="none" w:pos="1240" w:val="left"/>
          <w:tab w:leader="none" w:pos="1660" w:val="left"/>
          <w:tab w:leader="none" w:pos="2200" w:val="left"/>
          <w:tab w:leader="none" w:pos="3340" w:val="left"/>
          <w:tab w:leader="none" w:pos="4720" w:val="left"/>
          <w:tab w:leader="none" w:pos="5980" w:val="left"/>
          <w:tab w:leader="none" w:pos="7020" w:val="left"/>
        </w:tabs>
        <w:rPr>
          <w:sz w:val="20"/>
          <w:szCs w:val="20"/>
          <w:color w:val="auto"/>
        </w:rPr>
      </w:pPr>
      <w:r>
        <w:rPr>
          <w:rFonts w:ascii="Courier New" w:cs="Courier New" w:eastAsia="Courier New" w:hAnsi="Courier New"/>
          <w:sz w:val="18"/>
          <w:szCs w:val="18"/>
          <w:color w:val="auto"/>
        </w:rPr>
        <w:t>A</w:t>
        <w:tab/>
        <w:t>summary</w:t>
        <w:tab/>
        <w:t>of</w:t>
        <w:tab/>
        <w:t>the</w:t>
        <w:tab/>
        <w:t>Company's</w:t>
        <w:tab/>
        <w:t>significant</w:t>
        <w:tab/>
        <w:t>accounting</w:t>
        <w:tab/>
        <w:t>policies</w:t>
      </w:r>
      <w:r>
        <w:rPr>
          <w:sz w:val="20"/>
          <w:szCs w:val="20"/>
          <w:color w:val="auto"/>
        </w:rPr>
        <w:tab/>
      </w:r>
      <w:r>
        <w:rPr>
          <w:rFonts w:ascii="Courier New" w:cs="Courier New" w:eastAsia="Courier New" w:hAnsi="Courier New"/>
          <w:sz w:val="16"/>
          <w:szCs w:val="16"/>
          <w:color w:val="auto"/>
        </w:rPr>
        <w:t>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Use</w:t>
            </w:r>
          </w:p>
        </w:tc>
        <w:tc>
          <w:tcPr>
            <w:tcW w:w="17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of  estimates:</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w w:val="96"/>
              </w:rPr>
              <w:t>preparation of financial statements in</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conformity with</w:t>
            </w:r>
          </w:p>
        </w:tc>
      </w:tr>
      <w:tr>
        <w:trPr>
          <w:trHeight w:val="202"/>
        </w:trPr>
        <w:tc>
          <w:tcPr>
            <w:tcW w:w="2160" w:type="dxa"/>
            <w:vAlign w:val="bottom"/>
            <w:gridSpan w:val="4"/>
          </w:tcPr>
          <w:p>
            <w:pPr>
              <w:spacing w:after="0" w:line="202" w:lineRule="exact"/>
              <w:rPr>
                <w:sz w:val="20"/>
                <w:szCs w:val="20"/>
                <w:color w:val="auto"/>
              </w:rPr>
            </w:pPr>
            <w:r>
              <w:rPr>
                <w:rFonts w:ascii="Courier New" w:cs="Courier New" w:eastAsia="Courier New" w:hAnsi="Courier New"/>
                <w:sz w:val="18"/>
                <w:szCs w:val="18"/>
                <w:color w:val="auto"/>
                <w:w w:val="99"/>
              </w:rPr>
              <w:t>- ------------------</w:t>
            </w:r>
          </w:p>
        </w:tc>
        <w:tc>
          <w:tcPr>
            <w:tcW w:w="5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11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generally</w:t>
            </w:r>
          </w:p>
        </w:tc>
        <w:tc>
          <w:tcPr>
            <w:tcW w:w="104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rPr>
              <w:t>accepted</w:t>
            </w:r>
          </w:p>
        </w:tc>
        <w:tc>
          <w:tcPr>
            <w:tcW w:w="626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w w:val="97"/>
              </w:rPr>
              <w:t>accounting principles requires management to make estimates</w:t>
            </w:r>
          </w:p>
        </w:tc>
      </w:tr>
      <w:tr>
        <w:trPr>
          <w:trHeight w:val="202"/>
        </w:trPr>
        <w:tc>
          <w:tcPr>
            <w:tcW w:w="420" w:type="dxa"/>
            <w:vAlign w:val="bottom"/>
          </w:tcPr>
          <w:p>
            <w:pPr>
              <w:spacing w:after="0" w:line="202" w:lineRule="exact"/>
              <w:rPr>
                <w:sz w:val="20"/>
                <w:szCs w:val="20"/>
                <w:color w:val="auto"/>
              </w:rPr>
            </w:pPr>
            <w:r>
              <w:rPr>
                <w:rFonts w:ascii="Courier New" w:cs="Courier New" w:eastAsia="Courier New" w:hAnsi="Courier New"/>
                <w:sz w:val="18"/>
                <w:szCs w:val="18"/>
                <w:color w:val="auto"/>
              </w:rPr>
              <w:t>and</w:t>
            </w:r>
          </w:p>
        </w:tc>
        <w:tc>
          <w:tcPr>
            <w:tcW w:w="1260" w:type="dxa"/>
            <w:vAlign w:val="bottom"/>
            <w:gridSpan w:val="2"/>
          </w:tcPr>
          <w:p>
            <w:pPr>
              <w:ind w:left="120"/>
              <w:spacing w:after="0" w:line="202" w:lineRule="exact"/>
              <w:rPr>
                <w:sz w:val="20"/>
                <w:szCs w:val="20"/>
                <w:color w:val="auto"/>
              </w:rPr>
            </w:pPr>
            <w:r>
              <w:rPr>
                <w:rFonts w:ascii="Courier New" w:cs="Courier New" w:eastAsia="Courier New" w:hAnsi="Courier New"/>
                <w:sz w:val="18"/>
                <w:szCs w:val="18"/>
                <w:color w:val="auto"/>
                <w:w w:val="94"/>
              </w:rPr>
              <w:t>assumptions</w:t>
            </w:r>
          </w:p>
        </w:tc>
        <w:tc>
          <w:tcPr>
            <w:tcW w:w="510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that affect the reported amounts of assets and</w:t>
            </w:r>
          </w:p>
        </w:tc>
        <w:tc>
          <w:tcPr>
            <w:tcW w:w="1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liabilities and</w:t>
            </w:r>
          </w:p>
        </w:tc>
      </w:tr>
      <w:tr>
        <w:trPr>
          <w:trHeight w:val="202"/>
        </w:trPr>
        <w:tc>
          <w:tcPr>
            <w:tcW w:w="11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disclosure</w:t>
            </w:r>
          </w:p>
        </w:tc>
        <w:tc>
          <w:tcPr>
            <w:tcW w:w="560" w:type="dxa"/>
            <w:vAlign w:val="bottom"/>
          </w:tcPr>
          <w:p>
            <w:pPr>
              <w:ind w:left="140"/>
              <w:spacing w:after="0" w:line="202" w:lineRule="exact"/>
              <w:rPr>
                <w:sz w:val="20"/>
                <w:szCs w:val="20"/>
                <w:color w:val="auto"/>
              </w:rPr>
            </w:pPr>
            <w:r>
              <w:rPr>
                <w:rFonts w:ascii="Courier New" w:cs="Courier New" w:eastAsia="Courier New" w:hAnsi="Courier New"/>
                <w:sz w:val="18"/>
                <w:szCs w:val="18"/>
                <w:color w:val="auto"/>
              </w:rPr>
              <w:t>of</w:t>
            </w:r>
          </w:p>
        </w:tc>
        <w:tc>
          <w:tcPr>
            <w:tcW w:w="10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6"/>
              </w:rPr>
              <w:t>contingent</w:t>
            </w:r>
          </w:p>
        </w:tc>
        <w:tc>
          <w:tcPr>
            <w:tcW w:w="56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assets  and liabilities at the date of the financial</w:t>
            </w:r>
          </w:p>
        </w:tc>
      </w:tr>
    </w:tbl>
    <w:p>
      <w:pPr>
        <w:spacing w:after="0" w:line="4" w:lineRule="exact"/>
        <w:rPr>
          <w:sz w:val="20"/>
          <w:szCs w:val="20"/>
          <w:color w:val="auto"/>
        </w:rPr>
      </w:pPr>
    </w:p>
    <w:p>
      <w:pPr>
        <w:jc w:val="both"/>
        <w:ind w:right="1719"/>
        <w:spacing w:after="0" w:line="235" w:lineRule="auto"/>
        <w:rPr>
          <w:sz w:val="20"/>
          <w:szCs w:val="20"/>
          <w:color w:val="auto"/>
        </w:rPr>
      </w:pPr>
      <w:r>
        <w:rPr>
          <w:rFonts w:ascii="Courier New" w:cs="Courier New" w:eastAsia="Courier New" w:hAnsi="Courier New"/>
          <w:sz w:val="18"/>
          <w:szCs w:val="18"/>
          <w:color w:val="auto"/>
        </w:rPr>
        <w:t>statements and the reported amounts of revenues and expenses during the reporting period. Actual results could differ from those estimates.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Inventories:</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5"/>
              </w:rPr>
              <w:t>Inventories</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are</w:t>
            </w:r>
          </w:p>
        </w:tc>
        <w:tc>
          <w:tcPr>
            <w:tcW w:w="5260" w:type="dxa"/>
            <w:vAlign w:val="bottom"/>
            <w:gridSpan w:val="9"/>
          </w:tcPr>
          <w:p>
            <w:pPr>
              <w:jc w:val="right"/>
              <w:spacing w:after="0"/>
              <w:rPr>
                <w:sz w:val="20"/>
                <w:szCs w:val="20"/>
                <w:color w:val="auto"/>
              </w:rPr>
            </w:pPr>
            <w:r>
              <w:rPr>
                <w:rFonts w:ascii="Courier New" w:cs="Courier New" w:eastAsia="Courier New" w:hAnsi="Courier New"/>
                <w:sz w:val="18"/>
                <w:szCs w:val="18"/>
                <w:color w:val="auto"/>
              </w:rPr>
              <w:t>stated at the lower of cost (first-in, first-out</w:t>
            </w:r>
          </w:p>
        </w:tc>
      </w:tr>
      <w:tr>
        <w:trPr>
          <w:trHeight w:val="202"/>
        </w:trPr>
        <w:tc>
          <w:tcPr>
            <w:tcW w:w="14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 -----------</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960" w:type="dxa"/>
            <w:vAlign w:val="bottom"/>
          </w:tcPr>
          <w:p>
            <w:pPr>
              <w:spacing w:after="0" w:line="202" w:lineRule="exact"/>
              <w:rPr>
                <w:sz w:val="20"/>
                <w:szCs w:val="20"/>
                <w:color w:val="auto"/>
              </w:rPr>
            </w:pPr>
            <w:r>
              <w:rPr>
                <w:rFonts w:ascii="Courier New" w:cs="Courier New" w:eastAsia="Courier New" w:hAnsi="Courier New"/>
                <w:sz w:val="18"/>
                <w:szCs w:val="18"/>
                <w:color w:val="auto"/>
              </w:rPr>
              <w:t>method)</w:t>
            </w:r>
          </w:p>
        </w:tc>
        <w:tc>
          <w:tcPr>
            <w:tcW w:w="11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4"/>
              </w:rPr>
              <w:t>or  market.</w:t>
            </w:r>
          </w:p>
        </w:tc>
        <w:tc>
          <w:tcPr>
            <w:tcW w:w="6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The</w:t>
            </w:r>
          </w:p>
        </w:tc>
        <w:tc>
          <w:tcPr>
            <w:tcW w:w="1260" w:type="dxa"/>
            <w:vAlign w:val="bottom"/>
            <w:gridSpan w:val="3"/>
          </w:tcPr>
          <w:p>
            <w:pPr>
              <w:ind w:left="100"/>
              <w:spacing w:after="0" w:line="202" w:lineRule="exact"/>
              <w:rPr>
                <w:sz w:val="20"/>
                <w:szCs w:val="20"/>
                <w:color w:val="auto"/>
              </w:rPr>
            </w:pPr>
            <w:r>
              <w:rPr>
                <w:rFonts w:ascii="Courier New" w:cs="Courier New" w:eastAsia="Courier New" w:hAnsi="Courier New"/>
                <w:sz w:val="18"/>
                <w:szCs w:val="18"/>
                <w:color w:val="auto"/>
                <w:w w:val="95"/>
              </w:rPr>
              <w:t>composition</w:t>
            </w:r>
          </w:p>
        </w:tc>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of</w:t>
            </w:r>
          </w:p>
        </w:tc>
        <w:tc>
          <w:tcPr>
            <w:tcW w:w="1840" w:type="dxa"/>
            <w:vAlign w:val="bottom"/>
            <w:gridSpan w:val="3"/>
          </w:tcPr>
          <w:p>
            <w:pPr>
              <w:jc w:val="right"/>
              <w:ind w:right="32"/>
              <w:spacing w:after="0" w:line="202" w:lineRule="exact"/>
              <w:rPr>
                <w:sz w:val="20"/>
                <w:szCs w:val="20"/>
                <w:color w:val="auto"/>
              </w:rPr>
            </w:pPr>
            <w:r>
              <w:rPr>
                <w:rFonts w:ascii="Courier New" w:cs="Courier New" w:eastAsia="Courier New" w:hAnsi="Courier New"/>
                <w:sz w:val="18"/>
                <w:szCs w:val="18"/>
                <w:color w:val="auto"/>
              </w:rPr>
              <w:t>inventories  is</w:t>
            </w:r>
          </w:p>
        </w:tc>
        <w:tc>
          <w:tcPr>
            <w:tcW w:w="2100" w:type="dxa"/>
            <w:vAlign w:val="bottom"/>
            <w:gridSpan w:val="3"/>
          </w:tcPr>
          <w:p>
            <w:pPr>
              <w:ind w:left="100"/>
              <w:spacing w:after="0" w:line="202" w:lineRule="exact"/>
              <w:rPr>
                <w:sz w:val="20"/>
                <w:szCs w:val="20"/>
                <w:color w:val="auto"/>
              </w:rPr>
            </w:pPr>
            <w:r>
              <w:rPr>
                <w:rFonts w:ascii="Courier New" w:cs="Courier New" w:eastAsia="Courier New" w:hAnsi="Courier New"/>
                <w:sz w:val="18"/>
                <w:szCs w:val="18"/>
                <w:color w:val="auto"/>
              </w:rPr>
              <w:t>as  follows:</w:t>
            </w:r>
          </w:p>
        </w:tc>
      </w:tr>
      <w:tr>
        <w:trPr>
          <w:trHeight w:val="808"/>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r>
      <w:tr>
        <w:trPr>
          <w:trHeight w:val="202"/>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Raw materials</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$12,780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$13,488</w:t>
            </w:r>
          </w:p>
        </w:tc>
      </w:tr>
      <w:tr>
        <w:trPr>
          <w:trHeight w:val="202"/>
        </w:trPr>
        <w:tc>
          <w:tcPr>
            <w:tcW w:w="14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6"/>
              </w:rPr>
              <w:t>Finished goods</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1,515</w:t>
            </w: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3,155</w:t>
            </w:r>
          </w:p>
        </w:tc>
      </w:tr>
      <w:tr>
        <w:trPr>
          <w:trHeight w:val="202"/>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$14,295</w:t>
            </w: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$16,643</w:t>
            </w:r>
          </w:p>
        </w:tc>
      </w:tr>
      <w:tr>
        <w:trPr>
          <w:trHeight w:val="202"/>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606"/>
        </w:trPr>
        <w:tc>
          <w:tcPr>
            <w:tcW w:w="960" w:type="dxa"/>
            <w:vAlign w:val="bottom"/>
          </w:tcPr>
          <w:p>
            <w:pPr>
              <w:spacing w:after="0"/>
              <w:rPr>
                <w:sz w:val="20"/>
                <w:szCs w:val="20"/>
                <w:color w:val="auto"/>
              </w:rPr>
            </w:pPr>
            <w:r>
              <w:rPr>
                <w:rFonts w:ascii="Courier New" w:cs="Courier New" w:eastAsia="Courier New" w:hAnsi="Courier New"/>
                <w:sz w:val="18"/>
                <w:szCs w:val="18"/>
                <w:color w:val="auto"/>
              </w:rPr>
              <w:t>Property</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and</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equipment:</w:t>
            </w:r>
          </w:p>
        </w:tc>
        <w:tc>
          <w:tcPr>
            <w:tcW w:w="4460" w:type="dxa"/>
            <w:vAlign w:val="bottom"/>
            <w:gridSpan w:val="8"/>
          </w:tcPr>
          <w:p>
            <w:pPr>
              <w:ind w:left="100"/>
              <w:spacing w:after="0"/>
              <w:rPr>
                <w:sz w:val="20"/>
                <w:szCs w:val="20"/>
                <w:color w:val="auto"/>
              </w:rPr>
            </w:pPr>
            <w:r>
              <w:rPr>
                <w:rFonts w:ascii="Courier New" w:cs="Courier New" w:eastAsia="Courier New" w:hAnsi="Courier New"/>
                <w:sz w:val="18"/>
                <w:szCs w:val="18"/>
                <w:color w:val="auto"/>
                <w:w w:val="98"/>
              </w:rPr>
              <w:t>Depreciation of property and equipment is</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computed by</w:t>
            </w:r>
          </w:p>
        </w:tc>
      </w:tr>
      <w:tr>
        <w:trPr>
          <w:trHeight w:val="202"/>
        </w:trPr>
        <w:tc>
          <w:tcPr>
            <w:tcW w:w="2740" w:type="dxa"/>
            <w:vAlign w:val="bottom"/>
            <w:gridSpan w:val="4"/>
          </w:tcPr>
          <w:p>
            <w:pPr>
              <w:spacing w:after="0" w:line="202" w:lineRule="exact"/>
              <w:rPr>
                <w:sz w:val="20"/>
                <w:szCs w:val="20"/>
                <w:color w:val="auto"/>
              </w:rPr>
            </w:pPr>
            <w:r>
              <w:rPr>
                <w:rFonts w:ascii="Courier New" w:cs="Courier New" w:eastAsia="Courier New" w:hAnsi="Courier New"/>
                <w:sz w:val="18"/>
                <w:szCs w:val="18"/>
                <w:color w:val="auto"/>
                <w:w w:val="96"/>
              </w:rPr>
              <w:t>- ------------------------</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210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rPr>
              <w:t>the  straight-line</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method</w:t>
            </w:r>
          </w:p>
        </w:tc>
        <w:tc>
          <w:tcPr>
            <w:tcW w:w="78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over</w:t>
            </w:r>
          </w:p>
        </w:tc>
        <w:tc>
          <w:tcPr>
            <w:tcW w:w="48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the</w:t>
            </w:r>
          </w:p>
        </w:tc>
        <w:tc>
          <w:tcPr>
            <w:tcW w:w="1260" w:type="dxa"/>
            <w:vAlign w:val="bottom"/>
            <w:gridSpan w:val="3"/>
          </w:tcPr>
          <w:p>
            <w:pPr>
              <w:jc w:val="center"/>
              <w:ind w:right="12"/>
              <w:spacing w:after="0" w:line="202" w:lineRule="exact"/>
              <w:rPr>
                <w:sz w:val="20"/>
                <w:szCs w:val="20"/>
                <w:color w:val="auto"/>
              </w:rPr>
            </w:pPr>
            <w:r>
              <w:rPr>
                <w:rFonts w:ascii="Courier New" w:cs="Courier New" w:eastAsia="Courier New" w:hAnsi="Courier New"/>
                <w:sz w:val="18"/>
                <w:szCs w:val="18"/>
                <w:color w:val="auto"/>
                <w:w w:val="98"/>
              </w:rPr>
              <w:t>following</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w w:val="94"/>
              </w:rPr>
              <w:t>estimated</w:t>
            </w:r>
          </w:p>
        </w:tc>
        <w:tc>
          <w:tcPr>
            <w:tcW w:w="88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useful</w:t>
            </w:r>
          </w:p>
        </w:tc>
        <w:tc>
          <w:tcPr>
            <w:tcW w:w="1220" w:type="dxa"/>
            <w:vAlign w:val="bottom"/>
            <w:gridSpan w:val="2"/>
          </w:tcPr>
          <w:p>
            <w:pPr>
              <w:jc w:val="right"/>
              <w:ind w:right="452"/>
              <w:spacing w:after="0" w:line="202" w:lineRule="exact"/>
              <w:rPr>
                <w:sz w:val="20"/>
                <w:szCs w:val="20"/>
                <w:color w:val="auto"/>
              </w:rPr>
            </w:pPr>
            <w:r>
              <w:rPr>
                <w:rFonts w:ascii="Courier New" w:cs="Courier New" w:eastAsia="Courier New" w:hAnsi="Courier New"/>
                <w:sz w:val="18"/>
                <w:szCs w:val="18"/>
                <w:color w:val="auto"/>
              </w:rPr>
              <w:t>lives:</w:t>
            </w:r>
          </w:p>
        </w:tc>
      </w:tr>
      <w:tr>
        <w:trPr>
          <w:trHeight w:val="404"/>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Years</w:t>
            </w:r>
          </w:p>
        </w:tc>
      </w:tr>
      <w:tr>
        <w:trPr>
          <w:trHeight w:val="202"/>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2740" w:type="dxa"/>
            <w:vAlign w:val="bottom"/>
            <w:gridSpan w:val="4"/>
          </w:tcPr>
          <w:p>
            <w:pPr>
              <w:spacing w:after="0" w:line="202" w:lineRule="exact"/>
              <w:rPr>
                <w:sz w:val="20"/>
                <w:szCs w:val="20"/>
                <w:color w:val="auto"/>
              </w:rPr>
            </w:pPr>
            <w:r>
              <w:rPr>
                <w:rFonts w:ascii="Courier New" w:cs="Courier New" w:eastAsia="Courier New" w:hAnsi="Courier New"/>
                <w:sz w:val="18"/>
                <w:szCs w:val="18"/>
                <w:color w:val="auto"/>
                <w:w w:val="96"/>
              </w:rPr>
              <w:t>Buildings and improvements</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7-15</w:t>
            </w:r>
          </w:p>
        </w:tc>
      </w:tr>
      <w:tr>
        <w:trPr>
          <w:trHeight w:val="202"/>
        </w:trPr>
        <w:tc>
          <w:tcPr>
            <w:tcW w:w="960" w:type="dxa"/>
            <w:vAlign w:val="bottom"/>
          </w:tcPr>
          <w:p>
            <w:pPr>
              <w:spacing w:after="0" w:line="202" w:lineRule="exact"/>
              <w:rPr>
                <w:sz w:val="20"/>
                <w:szCs w:val="20"/>
                <w:color w:val="auto"/>
              </w:rPr>
            </w:pPr>
            <w:r>
              <w:rPr>
                <w:rFonts w:ascii="Courier New" w:cs="Courier New" w:eastAsia="Courier New" w:hAnsi="Courier New"/>
                <w:sz w:val="18"/>
                <w:szCs w:val="18"/>
                <w:color w:val="auto"/>
                <w:w w:val="96"/>
              </w:rPr>
              <w:t>Equipment</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w:t>
            </w:r>
          </w:p>
        </w:tc>
      </w:tr>
      <w:tr>
        <w:trPr>
          <w:trHeight w:val="404"/>
        </w:trPr>
        <w:tc>
          <w:tcPr>
            <w:tcW w:w="960" w:type="dxa"/>
            <w:vAlign w:val="bottom"/>
          </w:tcPr>
          <w:p>
            <w:pPr>
              <w:spacing w:after="0"/>
              <w:rPr>
                <w:sz w:val="20"/>
                <w:szCs w:val="20"/>
                <w:color w:val="auto"/>
              </w:rPr>
            </w:pPr>
            <w:r>
              <w:rPr>
                <w:rFonts w:ascii="Courier New" w:cs="Courier New" w:eastAsia="Courier New" w:hAnsi="Courier New"/>
                <w:sz w:val="18"/>
                <w:szCs w:val="18"/>
                <w:color w:val="auto"/>
              </w:rPr>
              <w:t>Property</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and</w:t>
            </w:r>
          </w:p>
        </w:tc>
        <w:tc>
          <w:tcPr>
            <w:tcW w:w="1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equipment</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is</w:t>
            </w: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5"/>
              </w:rPr>
              <w:t>subject</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w:t>
            </w:r>
          </w:p>
        </w:tc>
        <w:tc>
          <w:tcPr>
            <w:tcW w:w="300" w:type="dxa"/>
            <w:vAlign w:val="bottom"/>
          </w:tcPr>
          <w:p>
            <w:pPr>
              <w:jc w:val="center"/>
              <w:ind w:right="12"/>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lien</w:t>
            </w:r>
          </w:p>
        </w:tc>
        <w:tc>
          <w:tcPr>
            <w:tcW w:w="3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as a result of the Company's</w:t>
            </w:r>
          </w:p>
        </w:tc>
      </w:tr>
      <w:tr>
        <w:trPr>
          <w:trHeight w:val="202"/>
        </w:trPr>
        <w:tc>
          <w:tcPr>
            <w:tcW w:w="3520" w:type="dxa"/>
            <w:vAlign w:val="bottom"/>
            <w:gridSpan w:val="6"/>
          </w:tcPr>
          <w:p>
            <w:pPr>
              <w:spacing w:after="0" w:line="202" w:lineRule="exact"/>
              <w:rPr>
                <w:sz w:val="20"/>
                <w:szCs w:val="20"/>
                <w:color w:val="auto"/>
              </w:rPr>
            </w:pPr>
            <w:r>
              <w:rPr>
                <w:rFonts w:ascii="Courier New" w:cs="Courier New" w:eastAsia="Courier New" w:hAnsi="Courier New"/>
                <w:sz w:val="18"/>
                <w:szCs w:val="18"/>
                <w:color w:val="auto"/>
                <w:w w:val="98"/>
              </w:rPr>
              <w:t>inability  to  pay  for  building</w:t>
            </w:r>
          </w:p>
        </w:tc>
        <w:tc>
          <w:tcPr>
            <w:tcW w:w="4900" w:type="dxa"/>
            <w:vAlign w:val="bottom"/>
            <w:gridSpan w:val="8"/>
          </w:tcPr>
          <w:p>
            <w:pPr>
              <w:jc w:val="right"/>
              <w:spacing w:after="0" w:line="202" w:lineRule="exact"/>
              <w:rPr>
                <w:sz w:val="20"/>
                <w:szCs w:val="20"/>
                <w:color w:val="auto"/>
              </w:rPr>
            </w:pPr>
            <w:r>
              <w:rPr>
                <w:rFonts w:ascii="Courier New" w:cs="Courier New" w:eastAsia="Courier New" w:hAnsi="Courier New"/>
                <w:sz w:val="18"/>
                <w:szCs w:val="18"/>
                <w:color w:val="auto"/>
              </w:rPr>
              <w:t>improvements performed by a contractor.  This</w:t>
            </w:r>
          </w:p>
        </w:tc>
      </w:tr>
      <w:tr>
        <w:trPr>
          <w:trHeight w:val="202"/>
        </w:trPr>
        <w:tc>
          <w:tcPr>
            <w:tcW w:w="960" w:type="dxa"/>
            <w:vAlign w:val="bottom"/>
          </w:tcPr>
          <w:p>
            <w:pPr>
              <w:spacing w:after="0" w:line="202" w:lineRule="exact"/>
              <w:rPr>
                <w:sz w:val="20"/>
                <w:szCs w:val="20"/>
                <w:color w:val="auto"/>
              </w:rPr>
            </w:pPr>
            <w:r>
              <w:rPr>
                <w:rFonts w:ascii="Courier New" w:cs="Courier New" w:eastAsia="Courier New" w:hAnsi="Courier New"/>
                <w:sz w:val="18"/>
                <w:szCs w:val="18"/>
                <w:color w:val="auto"/>
                <w:w w:val="96"/>
              </w:rPr>
              <w:t>liability</w:t>
            </w:r>
          </w:p>
        </w:tc>
        <w:tc>
          <w:tcPr>
            <w:tcW w:w="52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w w:val="92"/>
              </w:rPr>
              <w:t>has</w:t>
            </w:r>
          </w:p>
        </w:tc>
        <w:tc>
          <w:tcPr>
            <w:tcW w:w="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been</w:t>
            </w:r>
          </w:p>
        </w:tc>
        <w:tc>
          <w:tcPr>
            <w:tcW w:w="106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rPr>
              <w:t>assumed</w:t>
            </w:r>
          </w:p>
        </w:tc>
        <w:tc>
          <w:tcPr>
            <w:tcW w:w="36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by</w:t>
            </w:r>
          </w:p>
        </w:tc>
        <w:tc>
          <w:tcPr>
            <w:tcW w:w="48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a</w:t>
            </w:r>
          </w:p>
        </w:tc>
        <w:tc>
          <w:tcPr>
            <w:tcW w:w="7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related</w:t>
            </w:r>
          </w:p>
        </w:tc>
        <w:tc>
          <w:tcPr>
            <w:tcW w:w="1540" w:type="dxa"/>
            <w:vAlign w:val="bottom"/>
            <w:gridSpan w:val="2"/>
          </w:tcPr>
          <w:p>
            <w:pPr>
              <w:jc w:val="right"/>
              <w:ind w:right="652"/>
              <w:spacing w:after="0" w:line="202" w:lineRule="exact"/>
              <w:rPr>
                <w:sz w:val="20"/>
                <w:szCs w:val="20"/>
                <w:color w:val="auto"/>
              </w:rPr>
            </w:pPr>
            <w:r>
              <w:rPr>
                <w:rFonts w:ascii="Courier New" w:cs="Courier New" w:eastAsia="Courier New" w:hAnsi="Courier New"/>
                <w:sz w:val="18"/>
                <w:szCs w:val="18"/>
                <w:color w:val="auto"/>
              </w:rPr>
              <w:t>party.</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6"/>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F-6</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139"/>
          </w:cols>
          <w:pgMar w:left="320" w:top="513" w:right="1440" w:bottom="1440" w:gutter="0" w:footer="0" w:header="0"/>
        </w:sectPr>
      </w:pPr>
    </w:p>
    <w:bookmarkStart w:id="19" w:name="page20"/>
    <w:bookmarkEnd w:id="19"/>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720" w:val="left"/>
          <w:tab w:leader="none" w:pos="1140" w:val="left"/>
          <w:tab w:leader="none" w:pos="2300" w:val="left"/>
        </w:tabs>
        <w:rPr>
          <w:sz w:val="20"/>
          <w:szCs w:val="20"/>
          <w:color w:val="auto"/>
        </w:rPr>
      </w:pPr>
      <w:r>
        <w:rPr>
          <w:rFonts w:ascii="Courier New" w:cs="Courier New" w:eastAsia="Courier New" w:hAnsi="Courier New"/>
          <w:sz w:val="18"/>
          <w:szCs w:val="18"/>
          <w:color w:val="auto"/>
        </w:rPr>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1.</w:t>
      </w:r>
      <w:r>
        <w:rPr>
          <w:rFonts w:ascii="Courier New" w:cs="Courier New" w:eastAsia="Courier New" w:hAnsi="Courier New"/>
          <w:sz w:val="16"/>
          <w:szCs w:val="16"/>
          <w:color w:val="auto"/>
        </w:rPr>
        <w:t>NATURE  OF BUSINESS AND SIGNIFICANT ACCOUNTING POLICIES (CONTINUED)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Earnings</w:t>
            </w:r>
          </w:p>
        </w:tc>
        <w:tc>
          <w:tcPr>
            <w:tcW w:w="9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(loss)</w:t>
            </w:r>
          </w:p>
        </w:tc>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rPr>
              <w:t>per share:</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w w:val="96"/>
              </w:rPr>
              <w:t>Earnings (loss)</w:t>
            </w:r>
          </w:p>
        </w:tc>
        <w:tc>
          <w:tcPr>
            <w:tcW w:w="3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per share has been computed on the</w:t>
            </w:r>
          </w:p>
        </w:tc>
      </w:tr>
      <w:tr>
        <w:trPr>
          <w:trHeight w:val="202"/>
        </w:trPr>
        <w:tc>
          <w:tcPr>
            <w:tcW w:w="3160" w:type="dxa"/>
            <w:vAlign w:val="bottom"/>
            <w:gridSpan w:val="6"/>
          </w:tcPr>
          <w:p>
            <w:pPr>
              <w:spacing w:after="0" w:line="202"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2"/>
        </w:trPr>
        <w:tc>
          <w:tcPr>
            <w:tcW w:w="740" w:type="dxa"/>
            <w:vAlign w:val="bottom"/>
          </w:tcPr>
          <w:p>
            <w:pPr>
              <w:spacing w:after="0" w:line="202" w:lineRule="exact"/>
              <w:rPr>
                <w:sz w:val="20"/>
                <w:szCs w:val="20"/>
                <w:color w:val="auto"/>
              </w:rPr>
            </w:pPr>
            <w:r>
              <w:rPr>
                <w:rFonts w:ascii="Courier New" w:cs="Courier New" w:eastAsia="Courier New" w:hAnsi="Courier New"/>
                <w:sz w:val="18"/>
                <w:szCs w:val="18"/>
                <w:color w:val="auto"/>
              </w:rPr>
              <w:t>basis</w:t>
            </w:r>
          </w:p>
        </w:tc>
        <w:tc>
          <w:tcPr>
            <w:tcW w:w="220" w:type="dxa"/>
            <w:vAlign w:val="bottom"/>
          </w:tcPr>
          <w:p>
            <w:pPr>
              <w:spacing w:after="0" w:line="202" w:lineRule="exact"/>
              <w:rPr>
                <w:sz w:val="20"/>
                <w:szCs w:val="20"/>
                <w:color w:val="auto"/>
              </w:rPr>
            </w:pPr>
            <w:r>
              <w:rPr>
                <w:rFonts w:ascii="Courier New" w:cs="Courier New" w:eastAsia="Courier New" w:hAnsi="Courier New"/>
                <w:sz w:val="18"/>
                <w:szCs w:val="18"/>
                <w:color w:val="auto"/>
                <w:w w:val="92"/>
              </w:rPr>
              <w:t>of</w:t>
            </w:r>
          </w:p>
        </w:tc>
        <w:tc>
          <w:tcPr>
            <w:tcW w:w="62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rPr>
              <w:t>the</w:t>
            </w:r>
          </w:p>
        </w:tc>
        <w:tc>
          <w:tcPr>
            <w:tcW w:w="6840" w:type="dxa"/>
            <w:vAlign w:val="bottom"/>
            <w:gridSpan w:val="6"/>
          </w:tcPr>
          <w:p>
            <w:pPr>
              <w:jc w:val="right"/>
              <w:spacing w:after="0" w:line="202" w:lineRule="exact"/>
              <w:rPr>
                <w:sz w:val="20"/>
                <w:szCs w:val="20"/>
                <w:color w:val="auto"/>
              </w:rPr>
            </w:pPr>
            <w:r>
              <w:rPr>
                <w:rFonts w:ascii="Courier New" w:cs="Courier New" w:eastAsia="Courier New" w:hAnsi="Courier New"/>
                <w:sz w:val="18"/>
                <w:szCs w:val="18"/>
                <w:color w:val="auto"/>
                <w:w w:val="98"/>
              </w:rPr>
              <w:t>weighted-average number of common shares outstanding during each</w:t>
            </w:r>
          </w:p>
        </w:tc>
      </w:tr>
      <w:tr>
        <w:trPr>
          <w:trHeight w:val="202"/>
        </w:trPr>
        <w:tc>
          <w:tcPr>
            <w:tcW w:w="740" w:type="dxa"/>
            <w:vAlign w:val="bottom"/>
          </w:tcPr>
          <w:p>
            <w:pPr>
              <w:spacing w:after="0" w:line="202" w:lineRule="exact"/>
              <w:rPr>
                <w:sz w:val="20"/>
                <w:szCs w:val="20"/>
                <w:color w:val="auto"/>
              </w:rPr>
            </w:pPr>
            <w:r>
              <w:rPr>
                <w:rFonts w:ascii="Courier New" w:cs="Courier New" w:eastAsia="Courier New" w:hAnsi="Courier New"/>
                <w:sz w:val="18"/>
                <w:szCs w:val="18"/>
                <w:color w:val="auto"/>
              </w:rPr>
              <w:t>period</w:t>
            </w:r>
          </w:p>
        </w:tc>
        <w:tc>
          <w:tcPr>
            <w:tcW w:w="1160" w:type="dxa"/>
            <w:vAlign w:val="bottom"/>
            <w:gridSpan w:val="3"/>
          </w:tcPr>
          <w:p>
            <w:pPr>
              <w:ind w:left="100"/>
              <w:spacing w:after="0" w:line="202" w:lineRule="exact"/>
              <w:rPr>
                <w:sz w:val="20"/>
                <w:szCs w:val="20"/>
                <w:color w:val="auto"/>
              </w:rPr>
            </w:pPr>
            <w:r>
              <w:rPr>
                <w:rFonts w:ascii="Courier New" w:cs="Courier New" w:eastAsia="Courier New" w:hAnsi="Courier New"/>
                <w:sz w:val="18"/>
                <w:szCs w:val="18"/>
                <w:color w:val="auto"/>
                <w:w w:val="96"/>
              </w:rPr>
              <w:t>presented.</w:t>
            </w:r>
          </w:p>
        </w:tc>
        <w:tc>
          <w:tcPr>
            <w:tcW w:w="12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Securities</w:t>
            </w:r>
          </w:p>
        </w:tc>
        <w:tc>
          <w:tcPr>
            <w:tcW w:w="526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that could potentially dilute basic earnings per</w:t>
            </w:r>
          </w:p>
        </w:tc>
      </w:tr>
      <w:tr>
        <w:trPr>
          <w:trHeight w:val="202"/>
        </w:trPr>
        <w:tc>
          <w:tcPr>
            <w:tcW w:w="740" w:type="dxa"/>
            <w:vAlign w:val="bottom"/>
          </w:tcPr>
          <w:p>
            <w:pPr>
              <w:spacing w:after="0" w:line="202" w:lineRule="exact"/>
              <w:rPr>
                <w:sz w:val="20"/>
                <w:szCs w:val="20"/>
                <w:color w:val="auto"/>
              </w:rPr>
            </w:pPr>
            <w:r>
              <w:rPr>
                <w:rFonts w:ascii="Courier New" w:cs="Courier New" w:eastAsia="Courier New" w:hAnsi="Courier New"/>
                <w:sz w:val="18"/>
                <w:szCs w:val="18"/>
                <w:color w:val="auto"/>
              </w:rPr>
              <w:t>share</w:t>
            </w:r>
          </w:p>
        </w:tc>
        <w:tc>
          <w:tcPr>
            <w:tcW w:w="220" w:type="dxa"/>
            <w:vAlign w:val="bottom"/>
          </w:tcPr>
          <w:p>
            <w:pPr>
              <w:spacing w:after="0" w:line="202" w:lineRule="exact"/>
              <w:rPr>
                <w:sz w:val="20"/>
                <w:szCs w:val="20"/>
                <w:color w:val="auto"/>
              </w:rPr>
            </w:pPr>
            <w:r>
              <w:rPr>
                <w:rFonts w:ascii="Courier New" w:cs="Courier New" w:eastAsia="Courier New" w:hAnsi="Courier New"/>
                <w:sz w:val="18"/>
                <w:szCs w:val="18"/>
                <w:color w:val="auto"/>
                <w:w w:val="92"/>
              </w:rPr>
              <w:t>in</w:t>
            </w:r>
          </w:p>
        </w:tc>
        <w:tc>
          <w:tcPr>
            <w:tcW w:w="62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rPr>
              <w:t>the</w:t>
            </w:r>
          </w:p>
        </w:tc>
        <w:tc>
          <w:tcPr>
            <w:tcW w:w="3780" w:type="dxa"/>
            <w:vAlign w:val="bottom"/>
            <w:gridSpan w:val="5"/>
          </w:tcPr>
          <w:p>
            <w:pPr>
              <w:ind w:left="100"/>
              <w:spacing w:after="0" w:line="202" w:lineRule="exact"/>
              <w:rPr>
                <w:sz w:val="20"/>
                <w:szCs w:val="20"/>
                <w:color w:val="auto"/>
              </w:rPr>
            </w:pPr>
            <w:r>
              <w:rPr>
                <w:rFonts w:ascii="Courier New" w:cs="Courier New" w:eastAsia="Courier New" w:hAnsi="Courier New"/>
                <w:sz w:val="18"/>
                <w:szCs w:val="18"/>
                <w:color w:val="auto"/>
              </w:rPr>
              <w:t>future  that  were  not  included</w:t>
            </w:r>
          </w:p>
        </w:tc>
        <w:tc>
          <w:tcPr>
            <w:tcW w:w="3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7"/>
              </w:rPr>
              <w:t>in the computation of diluted</w:t>
            </w:r>
          </w:p>
        </w:tc>
      </w:tr>
      <w:tr>
        <w:trPr>
          <w:trHeight w:val="202"/>
        </w:trPr>
        <w:tc>
          <w:tcPr>
            <w:tcW w:w="9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earnings</w:t>
            </w:r>
          </w:p>
        </w:tc>
        <w:tc>
          <w:tcPr>
            <w:tcW w:w="62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per</w:t>
            </w:r>
          </w:p>
        </w:tc>
        <w:tc>
          <w:tcPr>
            <w:tcW w:w="640" w:type="dxa"/>
            <w:vAlign w:val="bottom"/>
            <w:gridSpan w:val="2"/>
          </w:tcPr>
          <w:p>
            <w:pPr>
              <w:jc w:val="center"/>
              <w:spacing w:after="0" w:line="202" w:lineRule="exact"/>
              <w:rPr>
                <w:sz w:val="20"/>
                <w:szCs w:val="20"/>
                <w:color w:val="auto"/>
              </w:rPr>
            </w:pPr>
            <w:r>
              <w:rPr>
                <w:rFonts w:ascii="Courier New" w:cs="Courier New" w:eastAsia="Courier New" w:hAnsi="Courier New"/>
                <w:sz w:val="18"/>
                <w:szCs w:val="18"/>
                <w:color w:val="auto"/>
                <w:w w:val="98"/>
              </w:rPr>
              <w:t>share,</w:t>
            </w:r>
          </w:p>
        </w:tc>
        <w:tc>
          <w:tcPr>
            <w:tcW w:w="25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because to do so would</w:t>
            </w:r>
          </w:p>
        </w:tc>
        <w:tc>
          <w:tcPr>
            <w:tcW w:w="36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8"/>
              </w:rPr>
              <w:t>have been antidilutive to the loss</w:t>
            </w:r>
          </w:p>
        </w:tc>
      </w:tr>
      <w:tr>
        <w:trPr>
          <w:trHeight w:val="202"/>
        </w:trPr>
        <w:tc>
          <w:tcPr>
            <w:tcW w:w="740" w:type="dxa"/>
            <w:vAlign w:val="bottom"/>
          </w:tcPr>
          <w:p>
            <w:pPr>
              <w:spacing w:after="0" w:line="202" w:lineRule="exact"/>
              <w:rPr>
                <w:sz w:val="20"/>
                <w:szCs w:val="20"/>
                <w:color w:val="auto"/>
              </w:rPr>
            </w:pPr>
            <w:r>
              <w:rPr>
                <w:rFonts w:ascii="Courier New" w:cs="Courier New" w:eastAsia="Courier New" w:hAnsi="Courier New"/>
                <w:sz w:val="18"/>
                <w:szCs w:val="18"/>
                <w:color w:val="auto"/>
              </w:rPr>
              <w:t>before</w:t>
            </w:r>
          </w:p>
        </w:tc>
        <w:tc>
          <w:tcPr>
            <w:tcW w:w="4040" w:type="dxa"/>
            <w:vAlign w:val="bottom"/>
            <w:gridSpan w:val="6"/>
          </w:tcPr>
          <w:p>
            <w:pPr>
              <w:jc w:val="right"/>
              <w:spacing w:after="0" w:line="202" w:lineRule="exact"/>
              <w:rPr>
                <w:sz w:val="20"/>
                <w:szCs w:val="20"/>
                <w:color w:val="auto"/>
              </w:rPr>
            </w:pPr>
            <w:r>
              <w:rPr>
                <w:rFonts w:ascii="Courier New" w:cs="Courier New" w:eastAsia="Courier New" w:hAnsi="Courier New"/>
                <w:sz w:val="18"/>
                <w:szCs w:val="18"/>
                <w:color w:val="auto"/>
                <w:w w:val="99"/>
              </w:rPr>
              <w:t>extraordinary income, are as follows:</w:t>
            </w:r>
          </w:p>
        </w:tc>
        <w:tc>
          <w:tcPr>
            <w:tcW w:w="36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20,000,000 shares of common stock</w:t>
            </w:r>
          </w:p>
        </w:tc>
      </w:tr>
      <w:tr>
        <w:trPr>
          <w:trHeight w:val="202"/>
        </w:trPr>
        <w:tc>
          <w:tcPr>
            <w:tcW w:w="9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6"/>
              </w:rPr>
              <w:t>issueable</w:t>
            </w:r>
          </w:p>
        </w:tc>
        <w:tc>
          <w:tcPr>
            <w:tcW w:w="62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w w:val="92"/>
              </w:rPr>
              <w:t>upon</w:t>
            </w:r>
          </w:p>
        </w:tc>
        <w:tc>
          <w:tcPr>
            <w:tcW w:w="6840" w:type="dxa"/>
            <w:vAlign w:val="bottom"/>
            <w:gridSpan w:val="6"/>
          </w:tcPr>
          <w:p>
            <w:pPr>
              <w:jc w:val="right"/>
              <w:spacing w:after="0" w:line="202" w:lineRule="exact"/>
              <w:rPr>
                <w:sz w:val="20"/>
                <w:szCs w:val="20"/>
                <w:color w:val="auto"/>
              </w:rPr>
            </w:pPr>
            <w:r>
              <w:rPr>
                <w:rFonts w:ascii="Courier New" w:cs="Courier New" w:eastAsia="Courier New" w:hAnsi="Courier New"/>
                <w:sz w:val="18"/>
                <w:szCs w:val="18"/>
                <w:color w:val="auto"/>
              </w:rPr>
              <w:t>the conversion of Series B preferred stock in 1999, 215,053 and</w:t>
            </w:r>
          </w:p>
        </w:tc>
      </w:tr>
      <w:tr>
        <w:trPr>
          <w:trHeight w:val="202"/>
        </w:trPr>
        <w:tc>
          <w:tcPr>
            <w:tcW w:w="740" w:type="dxa"/>
            <w:vAlign w:val="bottom"/>
          </w:tcPr>
          <w:p>
            <w:pPr>
              <w:spacing w:after="0" w:line="202" w:lineRule="exact"/>
              <w:rPr>
                <w:sz w:val="20"/>
                <w:szCs w:val="20"/>
                <w:color w:val="auto"/>
              </w:rPr>
            </w:pPr>
            <w:r>
              <w:rPr>
                <w:rFonts w:ascii="Courier New" w:cs="Courier New" w:eastAsia="Courier New" w:hAnsi="Courier New"/>
                <w:sz w:val="18"/>
                <w:szCs w:val="18"/>
                <w:color w:val="auto"/>
                <w:w w:val="95"/>
              </w:rPr>
              <w:t>140,752</w:t>
            </w:r>
          </w:p>
        </w:tc>
        <w:tc>
          <w:tcPr>
            <w:tcW w:w="22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Courier New" w:cs="Courier New" w:eastAsia="Courier New" w:hAnsi="Courier New"/>
                <w:sz w:val="18"/>
                <w:szCs w:val="18"/>
                <w:color w:val="auto"/>
                <w:w w:val="92"/>
              </w:rPr>
              <w:t>shares</w:t>
            </w:r>
          </w:p>
        </w:tc>
        <w:tc>
          <w:tcPr>
            <w:tcW w:w="640" w:type="dxa"/>
            <w:vAlign w:val="bottom"/>
            <w:gridSpan w:val="2"/>
          </w:tcPr>
          <w:p>
            <w:pPr>
              <w:jc w:val="center"/>
              <w:spacing w:after="0" w:line="202" w:lineRule="exact"/>
              <w:rPr>
                <w:sz w:val="20"/>
                <w:szCs w:val="20"/>
                <w:color w:val="auto"/>
              </w:rPr>
            </w:pPr>
            <w:r>
              <w:rPr>
                <w:rFonts w:ascii="Courier New" w:cs="Courier New" w:eastAsia="Courier New" w:hAnsi="Courier New"/>
                <w:sz w:val="18"/>
                <w:szCs w:val="18"/>
                <w:color w:val="auto"/>
                <w:w w:val="92"/>
              </w:rPr>
              <w:t>of</w:t>
            </w:r>
          </w:p>
        </w:tc>
        <w:tc>
          <w:tcPr>
            <w:tcW w:w="25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6"/>
              </w:rPr>
              <w:t>common  stock  issueable</w:t>
            </w:r>
          </w:p>
        </w:tc>
        <w:tc>
          <w:tcPr>
            <w:tcW w:w="58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w w:val="92"/>
              </w:rPr>
              <w:t>upon</w:t>
            </w:r>
          </w:p>
        </w:tc>
        <w:tc>
          <w:tcPr>
            <w:tcW w:w="3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the  conversion of Series A</w:t>
            </w:r>
          </w:p>
        </w:tc>
      </w:tr>
      <w:tr>
        <w:trPr>
          <w:trHeight w:val="202"/>
        </w:trPr>
        <w:tc>
          <w:tcPr>
            <w:tcW w:w="9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6"/>
              </w:rPr>
              <w:t>preferred</w:t>
            </w:r>
          </w:p>
        </w:tc>
        <w:tc>
          <w:tcPr>
            <w:tcW w:w="940" w:type="dxa"/>
            <w:vAlign w:val="bottom"/>
            <w:gridSpan w:val="2"/>
          </w:tcPr>
          <w:p>
            <w:pPr>
              <w:ind w:left="200"/>
              <w:spacing w:after="0" w:line="202" w:lineRule="exact"/>
              <w:rPr>
                <w:sz w:val="20"/>
                <w:szCs w:val="20"/>
                <w:color w:val="auto"/>
              </w:rPr>
            </w:pPr>
            <w:r>
              <w:rPr>
                <w:rFonts w:ascii="Courier New" w:cs="Courier New" w:eastAsia="Courier New" w:hAnsi="Courier New"/>
                <w:sz w:val="18"/>
                <w:szCs w:val="18"/>
                <w:color w:val="auto"/>
              </w:rPr>
              <w:t>stock</w:t>
            </w:r>
          </w:p>
        </w:tc>
        <w:tc>
          <w:tcPr>
            <w:tcW w:w="320" w:type="dxa"/>
            <w:vAlign w:val="bottom"/>
          </w:tcPr>
          <w:p>
            <w:pPr>
              <w:spacing w:after="0" w:line="202" w:lineRule="exact"/>
              <w:rPr>
                <w:sz w:val="20"/>
                <w:szCs w:val="20"/>
                <w:color w:val="auto"/>
              </w:rPr>
            </w:pPr>
            <w:r>
              <w:rPr>
                <w:rFonts w:ascii="Courier New" w:cs="Courier New" w:eastAsia="Courier New" w:hAnsi="Courier New"/>
                <w:sz w:val="18"/>
                <w:szCs w:val="18"/>
                <w:color w:val="auto"/>
              </w:rPr>
              <w:t>in</w:t>
            </w:r>
          </w:p>
        </w:tc>
        <w:tc>
          <w:tcPr>
            <w:tcW w:w="6200" w:type="dxa"/>
            <w:vAlign w:val="bottom"/>
            <w:gridSpan w:val="4"/>
          </w:tcPr>
          <w:p>
            <w:pPr>
              <w:jc w:val="right"/>
              <w:spacing w:after="0" w:line="202" w:lineRule="exact"/>
              <w:rPr>
                <w:sz w:val="20"/>
                <w:szCs w:val="20"/>
                <w:color w:val="auto"/>
              </w:rPr>
            </w:pPr>
            <w:r>
              <w:rPr>
                <w:rFonts w:ascii="Courier New" w:cs="Courier New" w:eastAsia="Courier New" w:hAnsi="Courier New"/>
                <w:sz w:val="18"/>
                <w:szCs w:val="18"/>
                <w:color w:val="auto"/>
                <w:w w:val="98"/>
              </w:rPr>
              <w:t>1999 and 1998, respectively, 83,834 shares of common stock</w:t>
            </w:r>
          </w:p>
        </w:tc>
      </w:tr>
      <w:tr>
        <w:trPr>
          <w:trHeight w:val="202"/>
        </w:trPr>
        <w:tc>
          <w:tcPr>
            <w:tcW w:w="9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6"/>
              </w:rPr>
              <w:t>issueable</w:t>
            </w:r>
          </w:p>
        </w:tc>
        <w:tc>
          <w:tcPr>
            <w:tcW w:w="7460" w:type="dxa"/>
            <w:vAlign w:val="bottom"/>
            <w:gridSpan w:val="7"/>
          </w:tcPr>
          <w:p>
            <w:pPr>
              <w:ind w:left="200"/>
              <w:spacing w:after="0" w:line="202" w:lineRule="exact"/>
              <w:rPr>
                <w:sz w:val="20"/>
                <w:szCs w:val="20"/>
                <w:color w:val="auto"/>
              </w:rPr>
            </w:pPr>
            <w:r>
              <w:rPr>
                <w:rFonts w:ascii="Courier New" w:cs="Courier New" w:eastAsia="Courier New" w:hAnsi="Courier New"/>
                <w:sz w:val="18"/>
                <w:szCs w:val="18"/>
                <w:color w:val="auto"/>
                <w:w w:val="97"/>
              </w:rPr>
              <w:t>upon the exercise of options in 1999 and 1998 and 1,000,000 shares of</w:t>
            </w:r>
          </w:p>
        </w:tc>
      </w:tr>
      <w:tr>
        <w:trPr>
          <w:trHeight w:val="202"/>
        </w:trPr>
        <w:tc>
          <w:tcPr>
            <w:tcW w:w="740" w:type="dxa"/>
            <w:vAlign w:val="bottom"/>
          </w:tcPr>
          <w:p>
            <w:pPr>
              <w:spacing w:after="0" w:line="202" w:lineRule="exact"/>
              <w:rPr>
                <w:sz w:val="20"/>
                <w:szCs w:val="20"/>
                <w:color w:val="auto"/>
              </w:rPr>
            </w:pPr>
            <w:r>
              <w:rPr>
                <w:rFonts w:ascii="Courier New" w:cs="Courier New" w:eastAsia="Courier New" w:hAnsi="Courier New"/>
                <w:sz w:val="18"/>
                <w:szCs w:val="18"/>
                <w:color w:val="auto"/>
              </w:rPr>
              <w:t>common</w:t>
            </w:r>
          </w:p>
        </w:tc>
        <w:tc>
          <w:tcPr>
            <w:tcW w:w="84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rPr>
              <w:t>stock</w:t>
            </w:r>
          </w:p>
        </w:tc>
        <w:tc>
          <w:tcPr>
            <w:tcW w:w="158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w w:val="96"/>
              </w:rPr>
              <w:t>issueable  upon</w:t>
            </w:r>
          </w:p>
        </w:tc>
        <w:tc>
          <w:tcPr>
            <w:tcW w:w="526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the exercise of stock warrants in 1999 and 1998.</w:t>
            </w:r>
          </w:p>
        </w:tc>
      </w:tr>
      <w:tr>
        <w:trPr>
          <w:trHeight w:val="202"/>
        </w:trPr>
        <w:tc>
          <w:tcPr>
            <w:tcW w:w="158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w w:val="96"/>
              </w:rPr>
              <w:t>All  references</w:t>
            </w:r>
          </w:p>
        </w:tc>
        <w:tc>
          <w:tcPr>
            <w:tcW w:w="3200" w:type="dxa"/>
            <w:vAlign w:val="bottom"/>
            <w:gridSpan w:val="4"/>
          </w:tcPr>
          <w:p>
            <w:pPr>
              <w:jc w:val="right"/>
              <w:spacing w:after="0" w:line="202" w:lineRule="exact"/>
              <w:rPr>
                <w:sz w:val="20"/>
                <w:szCs w:val="20"/>
                <w:color w:val="auto"/>
              </w:rPr>
            </w:pPr>
            <w:r>
              <w:rPr>
                <w:rFonts w:ascii="Courier New" w:cs="Courier New" w:eastAsia="Courier New" w:hAnsi="Courier New"/>
                <w:sz w:val="18"/>
                <w:szCs w:val="18"/>
                <w:color w:val="auto"/>
              </w:rPr>
              <w:t>to earnings (loss) per share</w:t>
            </w:r>
          </w:p>
        </w:tc>
        <w:tc>
          <w:tcPr>
            <w:tcW w:w="36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8"/>
              </w:rPr>
              <w:t>in the financial statements are to</w:t>
            </w:r>
          </w:p>
        </w:tc>
      </w:tr>
    </w:tbl>
    <w:p>
      <w:pPr>
        <w:spacing w:after="0" w:line="4"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basic earnings (loss) per share. Diluted earnings (loss) per share are the same as basic earnings (loss) per share for all per share amounts presented. The weighted average number of common shares outstanding was 3,905,990 and 3,191,369 as of September 30, 1999 and 1998, respectively.</w:t>
      </w:r>
    </w:p>
    <w:p>
      <w:pPr>
        <w:spacing w:after="0" w:line="202" w:lineRule="exact"/>
        <w:rPr>
          <w:sz w:val="20"/>
          <w:szCs w:val="20"/>
          <w:color w:val="auto"/>
        </w:rPr>
      </w:pPr>
    </w:p>
    <w:p>
      <w:pPr>
        <w:spacing w:after="0"/>
        <w:tabs>
          <w:tab w:leader="none" w:pos="1040" w:val="left"/>
          <w:tab w:leader="none" w:pos="1880" w:val="left"/>
          <w:tab w:leader="none" w:pos="2920" w:val="left"/>
          <w:tab w:leader="none" w:pos="3660" w:val="left"/>
          <w:tab w:leader="none" w:pos="4180" w:val="left"/>
          <w:tab w:leader="none" w:pos="5240" w:val="left"/>
          <w:tab w:leader="none" w:pos="5660" w:val="left"/>
        </w:tabs>
        <w:rPr>
          <w:sz w:val="20"/>
          <w:szCs w:val="20"/>
          <w:color w:val="auto"/>
        </w:rPr>
      </w:pPr>
      <w:r>
        <w:rPr>
          <w:rFonts w:ascii="Courier New" w:cs="Courier New" w:eastAsia="Courier New" w:hAnsi="Courier New"/>
          <w:sz w:val="18"/>
          <w:szCs w:val="18"/>
          <w:color w:val="auto"/>
        </w:rPr>
        <w:t>Deferred</w:t>
        <w:tab/>
        <w:t>taxes:</w:t>
        <w:tab/>
        <w:t>Deferred</w:t>
        <w:tab/>
        <w:t>taxes</w:t>
        <w:tab/>
        <w:t>are</w:t>
        <w:tab/>
        <w:t>provided</w:t>
        <w:tab/>
        <w:t>on</w:t>
      </w:r>
      <w:r>
        <w:rPr>
          <w:sz w:val="20"/>
          <w:szCs w:val="20"/>
          <w:color w:val="auto"/>
        </w:rPr>
        <w:tab/>
      </w:r>
      <w:r>
        <w:rPr>
          <w:rFonts w:ascii="Courier New" w:cs="Courier New" w:eastAsia="Courier New" w:hAnsi="Courier New"/>
          <w:sz w:val="16"/>
          <w:szCs w:val="16"/>
          <w:color w:val="auto"/>
        </w:rPr>
        <w:t>a liability method whereby</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w:t>
      </w:r>
    </w:p>
    <w:p>
      <w:pPr>
        <w:spacing w:after="0" w:line="202" w:lineRule="exact"/>
        <w:rPr>
          <w:sz w:val="20"/>
          <w:szCs w:val="20"/>
          <w:color w:val="auto"/>
        </w:rPr>
      </w:pPr>
    </w:p>
    <w:p>
      <w:pPr>
        <w:spacing w:after="0"/>
        <w:tabs>
          <w:tab w:leader="none" w:pos="620" w:val="left"/>
          <w:tab w:leader="none" w:pos="1360" w:val="left"/>
          <w:tab w:leader="none" w:pos="2820" w:val="left"/>
          <w:tab w:leader="none" w:pos="3240" w:val="left"/>
        </w:tabs>
        <w:rPr>
          <w:sz w:val="20"/>
          <w:szCs w:val="20"/>
          <w:color w:val="auto"/>
        </w:rPr>
      </w:pPr>
      <w:r>
        <w:rPr>
          <w:rFonts w:ascii="Courier New" w:cs="Courier New" w:eastAsia="Courier New" w:hAnsi="Courier New"/>
          <w:sz w:val="18"/>
          <w:szCs w:val="18"/>
          <w:color w:val="auto"/>
        </w:rPr>
        <w:t>NOTE</w:t>
        <w:tab/>
        <w:t>2.</w:t>
      </w:r>
      <w:r>
        <w:rPr>
          <w:sz w:val="20"/>
          <w:szCs w:val="20"/>
          <w:color w:val="auto"/>
        </w:rPr>
        <w:tab/>
      </w:r>
      <w:r>
        <w:rPr>
          <w:rFonts w:ascii="Courier New" w:cs="Courier New" w:eastAsia="Courier New" w:hAnsi="Courier New"/>
          <w:sz w:val="18"/>
          <w:szCs w:val="18"/>
          <w:color w:val="auto"/>
        </w:rPr>
        <w:t>CONTINUATION</w:t>
        <w:tab/>
        <w:t>OF</w:t>
      </w:r>
      <w:r>
        <w:rPr>
          <w:sz w:val="20"/>
          <w:szCs w:val="20"/>
          <w:color w:val="auto"/>
        </w:rPr>
        <w:tab/>
      </w:r>
      <w:r>
        <w:rPr>
          <w:rFonts w:ascii="Courier New" w:cs="Courier New" w:eastAsia="Courier New" w:hAnsi="Courier New"/>
          <w:sz w:val="16"/>
          <w:szCs w:val="16"/>
          <w:color w:val="auto"/>
        </w:rPr>
        <w:t>OPERATIONS</w:t>
      </w:r>
    </w:p>
    <w:p>
      <w:pPr>
        <w:spacing w:after="0" w:line="206" w:lineRule="exact"/>
        <w:rPr>
          <w:sz w:val="20"/>
          <w:szCs w:val="20"/>
          <w:color w:val="auto"/>
        </w:rPr>
      </w:pPr>
    </w:p>
    <w:p>
      <w:pPr>
        <w:ind w:right="1719"/>
        <w:spacing w:after="0" w:line="237" w:lineRule="auto"/>
        <w:rPr>
          <w:sz w:val="20"/>
          <w:szCs w:val="20"/>
          <w:color w:val="auto"/>
        </w:rPr>
      </w:pPr>
      <w:r>
        <w:rPr>
          <w:rFonts w:ascii="Courier New" w:cs="Courier New" w:eastAsia="Courier New" w:hAnsi="Courier New"/>
          <w:sz w:val="18"/>
          <w:szCs w:val="18"/>
          <w:color w:val="auto"/>
        </w:rPr>
        <w:t>The Company has sustained operating losses for several years and its current liabilities exceeded current assets at September 30, 1999 and 1998. Continued operations of the Company are dependent upon the Company's ability to meet its debt requirements on a continuing basis and its ability to generate profitable future operations. Management is formulating plans in this regard which are expected to include entry into multimedia markets. In addition, the Company plans to increase revenue generated through varying methods of Internet sales. The Company expects to finance its entry into these new markets primarily through providing consulting services with the assistance of TPR Group and its affiliates (TPR), related parties, and generating cash through private investments or loans. There can be no assurance that TPR will provide such assistance or any other support to the Company.</w:t>
      </w: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139"/>
          </w:cols>
          <w:pgMar w:left="320" w:top="513" w:right="1440" w:bottom="1440" w:gutter="0" w:footer="0" w:header="0"/>
        </w:sectPr>
      </w:pPr>
    </w:p>
    <w:bookmarkStart w:id="20" w:name="page21"/>
    <w:bookmarkEnd w:id="20"/>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720" w:val="left"/>
          <w:tab w:leader="none" w:pos="1140" w:val="left"/>
          <w:tab w:leader="none" w:pos="2300" w:val="left"/>
        </w:tabs>
        <w:rPr>
          <w:sz w:val="20"/>
          <w:szCs w:val="20"/>
          <w:color w:val="auto"/>
        </w:rPr>
      </w:pPr>
      <w:r>
        <w:rPr>
          <w:rFonts w:ascii="Courier New" w:cs="Courier New" w:eastAsia="Courier New" w:hAnsi="Courier New"/>
          <w:sz w:val="18"/>
          <w:szCs w:val="18"/>
          <w:color w:val="auto"/>
        </w:rPr>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7" w:lineRule="exact"/>
        <w:rPr>
          <w:sz w:val="20"/>
          <w:szCs w:val="20"/>
          <w:color w:val="auto"/>
        </w:rPr>
      </w:pPr>
    </w:p>
    <w:p>
      <w:pPr>
        <w:spacing w:after="0"/>
        <w:tabs>
          <w:tab w:leader="none" w:pos="620" w:val="left"/>
          <w:tab w:leader="none" w:pos="1360" w:val="left"/>
          <w:tab w:leader="none" w:pos="2620" w:val="left"/>
          <w:tab w:leader="none" w:pos="3040" w:val="left"/>
        </w:tabs>
        <w:rPr>
          <w:sz w:val="20"/>
          <w:szCs w:val="20"/>
          <w:color w:val="auto"/>
        </w:rPr>
      </w:pPr>
      <w:r>
        <w:rPr>
          <w:rFonts w:ascii="Courier New" w:cs="Courier New" w:eastAsia="Courier New" w:hAnsi="Courier New"/>
          <w:sz w:val="18"/>
          <w:szCs w:val="18"/>
          <w:color w:val="auto"/>
        </w:rPr>
        <w:t>NOTE</w:t>
        <w:tab/>
        <w:t>3.</w:t>
      </w:r>
      <w:r>
        <w:rPr>
          <w:sz w:val="20"/>
          <w:szCs w:val="20"/>
          <w:color w:val="auto"/>
        </w:rPr>
        <w:tab/>
      </w:r>
      <w:r>
        <w:rPr>
          <w:rFonts w:ascii="Courier New" w:cs="Courier New" w:eastAsia="Courier New" w:hAnsi="Courier New"/>
          <w:sz w:val="18"/>
          <w:szCs w:val="18"/>
          <w:color w:val="auto"/>
        </w:rPr>
        <w:t>SETTLEMENT</w:t>
        <w:tab/>
        <w:t>OF</w:t>
      </w:r>
      <w:r>
        <w:rPr>
          <w:sz w:val="20"/>
          <w:szCs w:val="20"/>
          <w:color w:val="auto"/>
        </w:rPr>
        <w:tab/>
      </w:r>
      <w:r>
        <w:rPr>
          <w:rFonts w:ascii="Courier New" w:cs="Courier New" w:eastAsia="Courier New" w:hAnsi="Courier New"/>
          <w:sz w:val="16"/>
          <w:szCs w:val="16"/>
          <w:color w:val="auto"/>
        </w:rPr>
        <w:t>LIABILITIES</w:t>
      </w:r>
    </w:p>
    <w:p>
      <w:pPr>
        <w:spacing w:after="0" w:line="206"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In 1999 the Company issued 1,686,162 shares of common stock (of which 581,773 shares were issued to related parties, including shareholders) to settle certain accrued expenses, accounts payable, notes payable and long-term debt totaling $1,569,756 (of which $575,162 was payable to related parties, including shareholders). The common stock issued to nonrelated party creditors to settle liabilities was recorded at fair value. The difference between the fair value of the common stock issued and the carrying amount of the liabilities settled was recognized as a gain on restructuring of liabilities and classified as an extraordinary item. The common stock issued to related parties was recorded at the carrying amount of the liabilities and no gain was recognized on common stock issued to related parties. Included in the above amount was $296,298 of accounts payable due to TPR, which was settled through the issuance of 296,298 shares of common stock.</w:t>
      </w:r>
    </w:p>
    <w:p>
      <w:pPr>
        <w:spacing w:after="0" w:line="211" w:lineRule="exact"/>
        <w:rPr>
          <w:sz w:val="20"/>
          <w:szCs w:val="20"/>
          <w:color w:val="auto"/>
        </w:rPr>
      </w:pPr>
    </w:p>
    <w:p>
      <w:pPr>
        <w:jc w:val="both"/>
        <w:ind w:right="1719"/>
        <w:spacing w:after="0" w:line="269" w:lineRule="auto"/>
        <w:rPr>
          <w:sz w:val="20"/>
          <w:szCs w:val="20"/>
          <w:color w:val="auto"/>
        </w:rPr>
      </w:pPr>
      <w:r>
        <w:rPr>
          <w:rFonts w:ascii="Courier New" w:cs="Courier New" w:eastAsia="Courier New" w:hAnsi="Courier New"/>
          <w:sz w:val="16"/>
          <w:szCs w:val="16"/>
          <w:color w:val="auto"/>
        </w:rPr>
        <w:t>Under the terms of an agreement between the Company and TPR in connection with the debt restructuring described above, TPR agreed to pay in cash on behalf of the Company certain operating and other expenses of the Company up to $50,000, and also forgive $213,500 of debt and $75,940 of related accrued interest, all of which was secured by a first lien on all of the Company's assets, in exchange for 2,000,000 shares of Series B preferred stock. At September 30, 1998, the Company also had a $4,000 loan from TPR. During 1999, the Company received an additional $35,324 from TPR and issued 2,000,000 shares of Series B preferred stock (convertible to 20,000,000 shares of common stock) to TPR in settlement of the above amounts due. The Company recorded the settlement of these obligations at the fair value of the equivalent common shares issued (assumed for these purposes to be 3 cents per share, an aggregate of $600,000). The estimated fair value of the stock issued in excess of debt and accrued interest forgiven and cash advanced, which excess totaled $260,560, is reflected in the statement of operations as debt conversion expense.</w:t>
      </w:r>
    </w:p>
    <w:p>
      <w:pPr>
        <w:spacing w:after="0" w:line="388"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Substantially all of the Company's accounts payable are several years past due. The Company does not anticipate making any payments on these obligations in the near term. The Company has several judgments against it and several more threatened as a result of its inability to pay its obligations to its unsecured creditors.</w:t>
      </w:r>
    </w:p>
    <w:p>
      <w:pPr>
        <w:spacing w:after="0" w:line="204" w:lineRule="exact"/>
        <w:rPr>
          <w:sz w:val="20"/>
          <w:szCs w:val="20"/>
          <w:color w:val="auto"/>
        </w:rPr>
      </w:pPr>
    </w:p>
    <w:p>
      <w:pPr>
        <w:spacing w:after="0"/>
        <w:tabs>
          <w:tab w:leader="none" w:pos="620" w:val="left"/>
          <w:tab w:leader="none" w:pos="1360" w:val="left"/>
          <w:tab w:leader="none" w:pos="2080" w:val="left"/>
          <w:tab w:leader="none" w:pos="3040" w:val="left"/>
          <w:tab w:leader="none" w:pos="3560" w:val="left"/>
          <w:tab w:leader="none" w:pos="4720" w:val="left"/>
        </w:tabs>
        <w:rPr>
          <w:sz w:val="20"/>
          <w:szCs w:val="20"/>
          <w:color w:val="auto"/>
        </w:rPr>
      </w:pPr>
      <w:r>
        <w:rPr>
          <w:rFonts w:ascii="Courier New" w:cs="Courier New" w:eastAsia="Courier New" w:hAnsi="Courier New"/>
          <w:sz w:val="18"/>
          <w:szCs w:val="18"/>
          <w:color w:val="auto"/>
        </w:rPr>
        <w:t>NOTE</w:t>
        <w:tab/>
        <w:t>4.</w:t>
      </w:r>
      <w:r>
        <w:rPr>
          <w:sz w:val="20"/>
          <w:szCs w:val="20"/>
          <w:color w:val="auto"/>
        </w:rPr>
        <w:tab/>
      </w:r>
      <w:r>
        <w:rPr>
          <w:rFonts w:ascii="Courier New" w:cs="Courier New" w:eastAsia="Courier New" w:hAnsi="Courier New"/>
          <w:sz w:val="18"/>
          <w:szCs w:val="18"/>
          <w:color w:val="auto"/>
        </w:rPr>
        <w:t>NOTES</w:t>
        <w:tab/>
        <w:t>PAYABLE</w:t>
        <w:tab/>
        <w:t>AND</w:t>
        <w:tab/>
        <w:t>LONG-TERM</w:t>
      </w:r>
      <w:r>
        <w:rPr>
          <w:sz w:val="20"/>
          <w:szCs w:val="20"/>
          <w:color w:val="auto"/>
        </w:rPr>
        <w:tab/>
      </w:r>
      <w:r>
        <w:rPr>
          <w:rFonts w:ascii="Courier New" w:cs="Courier New" w:eastAsia="Courier New" w:hAnsi="Courier New"/>
          <w:sz w:val="16"/>
          <w:szCs w:val="16"/>
          <w:color w:val="auto"/>
        </w:rPr>
        <w:t>DEBT</w:t>
      </w:r>
    </w:p>
    <w:p>
      <w:pPr>
        <w:spacing w:after="0" w:line="206"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At September 30, 1999 and 1998, the Company has a $500,000 note payable to TPR that is due on demand. This note was originally to a bank and was assumed by TPR on behalf of the Company as a result of its guarantee of the loan. In connection with the assumption of the loan, TPR received 1,000,000 restricted common stock warrants that each represent the right to purchase one share of common stock at $.50. The warrants expire one year following satisfaction of the note.</w:t>
      </w: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139"/>
          </w:cols>
          <w:pgMar w:left="320" w:top="513" w:right="1440" w:bottom="1440" w:gutter="0" w:footer="0" w:header="0"/>
        </w:sectPr>
      </w:pPr>
    </w:p>
    <w:bookmarkStart w:id="21" w:name="page22"/>
    <w:bookmarkEnd w:id="21"/>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720" w:val="left"/>
          <w:tab w:leader="none" w:pos="1140" w:val="left"/>
          <w:tab w:leader="none" w:pos="2300" w:val="left"/>
        </w:tabs>
        <w:rPr>
          <w:sz w:val="20"/>
          <w:szCs w:val="20"/>
          <w:color w:val="auto"/>
        </w:rPr>
      </w:pPr>
      <w:r>
        <w:rPr>
          <w:rFonts w:ascii="Courier New" w:cs="Courier New" w:eastAsia="Courier New" w:hAnsi="Courier New"/>
          <w:sz w:val="18"/>
          <w:szCs w:val="18"/>
          <w:color w:val="auto"/>
        </w:rPr>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7" w:lineRule="exact"/>
        <w:rPr>
          <w:sz w:val="20"/>
          <w:szCs w:val="20"/>
          <w:color w:val="auto"/>
        </w:rPr>
      </w:pPr>
    </w:p>
    <w:p>
      <w:pPr>
        <w:spacing w:after="0"/>
        <w:tabs>
          <w:tab w:leader="none" w:pos="620" w:val="left"/>
          <w:tab w:leader="none" w:pos="1360" w:val="left"/>
          <w:tab w:leader="none" w:pos="2080" w:val="left"/>
          <w:tab w:leader="none" w:pos="3040" w:val="left"/>
          <w:tab w:leader="none" w:pos="3560" w:val="left"/>
          <w:tab w:leader="none" w:pos="4720" w:val="left"/>
          <w:tab w:leader="none" w:pos="5340" w:val="left"/>
        </w:tabs>
        <w:rPr>
          <w:sz w:val="20"/>
          <w:szCs w:val="20"/>
          <w:color w:val="auto"/>
        </w:rPr>
      </w:pPr>
      <w:r>
        <w:rPr>
          <w:rFonts w:ascii="Courier New" w:cs="Courier New" w:eastAsia="Courier New" w:hAnsi="Courier New"/>
          <w:sz w:val="18"/>
          <w:szCs w:val="18"/>
          <w:color w:val="auto"/>
        </w:rPr>
        <w:t>NOTE</w:t>
        <w:tab/>
        <w:t>4.</w:t>
      </w:r>
      <w:r>
        <w:rPr>
          <w:sz w:val="20"/>
          <w:szCs w:val="20"/>
          <w:color w:val="auto"/>
        </w:rPr>
        <w:tab/>
      </w:r>
      <w:r>
        <w:rPr>
          <w:rFonts w:ascii="Courier New" w:cs="Courier New" w:eastAsia="Courier New" w:hAnsi="Courier New"/>
          <w:sz w:val="18"/>
          <w:szCs w:val="18"/>
          <w:color w:val="auto"/>
        </w:rPr>
        <w:t>NOTES</w:t>
        <w:tab/>
        <w:t>PAYABLE</w:t>
        <w:tab/>
        <w:t>AND</w:t>
        <w:tab/>
        <w:t>LONG-TERM</w:t>
        <w:tab/>
        <w:t>DEBT</w:t>
      </w:r>
      <w:r>
        <w:rPr>
          <w:sz w:val="20"/>
          <w:szCs w:val="20"/>
          <w:color w:val="auto"/>
        </w:rPr>
        <w:tab/>
      </w:r>
      <w:r>
        <w:rPr>
          <w:rFonts w:ascii="Courier New" w:cs="Courier New" w:eastAsia="Courier New" w:hAnsi="Courier New"/>
          <w:sz w:val="16"/>
          <w:szCs w:val="16"/>
          <w:color w:val="auto"/>
        </w:rPr>
        <w:t>(CONTINUED)</w:t>
      </w:r>
    </w:p>
    <w:p>
      <w:pPr>
        <w:spacing w:after="0" w:line="206"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The note to TPR bears interest at a variable rate of interest (compounded at 13.6% as of September 30, 1999) and is secured by substantially all assets of the Company. Accrued interest in the accompanying balance sheets includes $297,118 and $197,670, respectively, at September 30, 1999 and 1998 of accrued interest due to TPR under the demand note discussed above. During fiscal year 1999, TPR entered into an agreement with the Company in which TPR would exchange the $500,000 of debt plus accrued interest owing from the Company for 600,000 shares of a new series of preferred stock (not yet Board of Director authorized) if certain conditions in the agreement are satisfied. The proposed terms of the Series C preferred stock are that it will have an initial liquidation preference of $1.00 per share and will be convertible at the option of the holder at the rate of 10 shares of the Company's common stock for each share of Series C preferred stock. The Series C preferred stock will be redeemable by the Company, in whole or in part, at a price of $1.00 per share upon request of the holder given at any time after the expiration of one full year from the date the Series C stock is issued.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20"/>
                <w:szCs w:val="20"/>
                <w:color w:val="auto"/>
              </w:rPr>
            </w:pPr>
            <w:r>
              <w:rPr>
                <w:rFonts w:ascii="Courier New" w:cs="Courier New" w:eastAsia="Courier New" w:hAnsi="Courier New"/>
                <w:sz w:val="18"/>
                <w:szCs w:val="18"/>
                <w:color w:val="auto"/>
                <w:w w:val="98"/>
              </w:rPr>
              <w:t>Long-term  debt  consists  of  the  following  at  September</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30, 1999 and 1998:</w:t>
            </w:r>
          </w:p>
        </w:tc>
      </w:tr>
      <w:tr>
        <w:trPr>
          <w:trHeight w:val="808"/>
        </w:trPr>
        <w:tc>
          <w:tcPr>
            <w:tcW w:w="642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1999</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1998</w:t>
            </w:r>
          </w:p>
        </w:tc>
      </w:tr>
      <w:tr>
        <w:trPr>
          <w:trHeight w:val="202"/>
        </w:trPr>
        <w:tc>
          <w:tcPr>
            <w:tcW w:w="64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420" w:type="dxa"/>
            <w:vAlign w:val="bottom"/>
          </w:tcPr>
          <w:p>
            <w:pPr>
              <w:spacing w:after="0"/>
              <w:rPr>
                <w:sz w:val="20"/>
                <w:szCs w:val="20"/>
                <w:color w:val="auto"/>
              </w:rPr>
            </w:pPr>
            <w:r>
              <w:rPr>
                <w:rFonts w:ascii="Courier New" w:cs="Courier New" w:eastAsia="Courier New" w:hAnsi="Courier New"/>
                <w:sz w:val="18"/>
                <w:szCs w:val="18"/>
                <w:color w:val="auto"/>
              </w:rPr>
              <w:t>0% Settlement payable, due in monthly installments of $167</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64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through March 2001, and monthly installments of $500</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64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thereafter through March 2008</w:t>
            </w: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$45,000</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$ 46,000</w:t>
            </w:r>
          </w:p>
        </w:tc>
      </w:tr>
      <w:tr>
        <w:trPr>
          <w:trHeight w:val="202"/>
        </w:trPr>
        <w:tc>
          <w:tcPr>
            <w:tcW w:w="6420" w:type="dxa"/>
            <w:vAlign w:val="bottom"/>
          </w:tcPr>
          <w:p>
            <w:pPr>
              <w:spacing w:after="0" w:line="202" w:lineRule="exact"/>
              <w:rPr>
                <w:sz w:val="20"/>
                <w:szCs w:val="20"/>
                <w:color w:val="auto"/>
              </w:rPr>
            </w:pPr>
            <w:r>
              <w:rPr>
                <w:rFonts w:ascii="Courier New" w:cs="Courier New" w:eastAsia="Courier New" w:hAnsi="Courier New"/>
                <w:sz w:val="18"/>
                <w:szCs w:val="18"/>
                <w:color w:val="auto"/>
              </w:rPr>
              <w:t>15% Note, due November 30, 1995, collateralized</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64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by substantially all assets of the Company</w:t>
            </w: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20,000</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20,000</w:t>
            </w:r>
          </w:p>
        </w:tc>
      </w:tr>
      <w:tr>
        <w:trPr>
          <w:trHeight w:val="202"/>
        </w:trPr>
        <w:tc>
          <w:tcPr>
            <w:tcW w:w="6420" w:type="dxa"/>
            <w:vAlign w:val="bottom"/>
          </w:tcPr>
          <w:p>
            <w:pPr>
              <w:spacing w:after="0" w:line="202" w:lineRule="exact"/>
              <w:rPr>
                <w:sz w:val="20"/>
                <w:szCs w:val="20"/>
                <w:color w:val="auto"/>
              </w:rPr>
            </w:pPr>
            <w:r>
              <w:rPr>
                <w:rFonts w:ascii="Courier New" w:cs="Courier New" w:eastAsia="Courier New" w:hAnsi="Courier New"/>
                <w:sz w:val="18"/>
                <w:szCs w:val="18"/>
                <w:color w:val="auto"/>
              </w:rPr>
              <w:t>Other past due notes payable, settled for stock</w:t>
            </w: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499,935</w:t>
            </w:r>
          </w:p>
        </w:tc>
      </w:tr>
      <w:tr>
        <w:trPr>
          <w:trHeight w:val="202"/>
        </w:trPr>
        <w:tc>
          <w:tcPr>
            <w:tcW w:w="64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4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65,000</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565,935</w:t>
            </w:r>
          </w:p>
        </w:tc>
      </w:tr>
      <w:tr>
        <w:trPr>
          <w:trHeight w:val="202"/>
        </w:trPr>
        <w:tc>
          <w:tcPr>
            <w:tcW w:w="6420" w:type="dxa"/>
            <w:vAlign w:val="bottom"/>
          </w:tcPr>
          <w:p>
            <w:pPr>
              <w:spacing w:after="0" w:line="202" w:lineRule="exact"/>
              <w:rPr>
                <w:sz w:val="20"/>
                <w:szCs w:val="20"/>
                <w:color w:val="auto"/>
              </w:rPr>
            </w:pPr>
            <w:r>
              <w:rPr>
                <w:rFonts w:ascii="Courier New" w:cs="Courier New" w:eastAsia="Courier New" w:hAnsi="Courier New"/>
                <w:sz w:val="18"/>
                <w:szCs w:val="18"/>
                <w:color w:val="auto"/>
              </w:rPr>
              <w:t>Less current maturities</w:t>
            </w: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22,000</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520,935</w:t>
            </w:r>
          </w:p>
        </w:tc>
      </w:tr>
      <w:tr>
        <w:trPr>
          <w:trHeight w:val="202"/>
        </w:trPr>
        <w:tc>
          <w:tcPr>
            <w:tcW w:w="64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4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$43,000</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$ 45,000</w:t>
            </w:r>
          </w:p>
        </w:tc>
      </w:tr>
      <w:tr>
        <w:trPr>
          <w:trHeight w:val="202"/>
        </w:trPr>
        <w:tc>
          <w:tcPr>
            <w:tcW w:w="64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8"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An accounts payable amount of $62,712 due as of September 30, 1997, was restructured through an agreed settlement in which interest in the amount of $16,509 was forgiven, with the balance converted to a long term settlement payable. If the Company fails to comply with the terms of the settlement, then the entire unpaid obligation under the settlement plus the abated interest of $16,509 will be due and payable immediately. Accordingly, the $16,509 is included in the accompanying balance sheets in accrued expenses as of September 30, 1999 and 1998.</w:t>
      </w:r>
    </w:p>
    <w:p>
      <w:pPr>
        <w:spacing w:after="0" w:line="207"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Aggregate maturities on long term debt as September 30, 1999 are due in future years as follows: 2000 $22,000; 2001 $4,000; 2002 $6,000; 2003 $6,000; 2004 $6,000; and thereafter $21,000.</w:t>
      </w:r>
    </w:p>
    <w:p>
      <w:pPr>
        <w:spacing w:after="0" w:line="207"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It is not practicable to estimate the fair value of the notes payable and long-term debt obligations noted above due to the credit position of the Company and its inability to obtain financing from any lender other than related parties.</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139"/>
          </w:cols>
          <w:pgMar w:left="320" w:top="513" w:right="1440" w:bottom="1440" w:gutter="0" w:footer="0" w:header="0"/>
        </w:sectPr>
      </w:pPr>
    </w:p>
    <w:bookmarkStart w:id="22" w:name="page23"/>
    <w:bookmarkEnd w:id="22"/>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720" w:val="left"/>
          <w:tab w:leader="none" w:pos="1140" w:val="left"/>
          <w:tab w:leader="none" w:pos="2300" w:val="left"/>
        </w:tabs>
        <w:rPr>
          <w:sz w:val="20"/>
          <w:szCs w:val="20"/>
          <w:color w:val="auto"/>
        </w:rPr>
      </w:pPr>
      <w:r>
        <w:rPr>
          <w:rFonts w:ascii="Courier New" w:cs="Courier New" w:eastAsia="Courier New" w:hAnsi="Courier New"/>
          <w:sz w:val="18"/>
          <w:szCs w:val="18"/>
          <w:color w:val="auto"/>
        </w:rPr>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5.</w:t>
      </w:r>
      <w:r>
        <w:rPr>
          <w:rFonts w:ascii="Courier New" w:cs="Courier New" w:eastAsia="Courier New" w:hAnsi="Courier New"/>
          <w:sz w:val="16"/>
          <w:szCs w:val="16"/>
          <w:color w:val="auto"/>
        </w:rPr>
        <w:t>INCOME  TAX  MATTERS</w:t>
      </w:r>
    </w:p>
    <w:p>
      <w:pPr>
        <w:spacing w:after="0" w:line="206" w:lineRule="exact"/>
        <w:rPr>
          <w:sz w:val="20"/>
          <w:szCs w:val="20"/>
          <w:color w:val="auto"/>
        </w:rPr>
      </w:pPr>
    </w:p>
    <w:p>
      <w:pPr>
        <w:ind w:right="1719"/>
        <w:spacing w:after="0" w:line="235" w:lineRule="auto"/>
        <w:rPr>
          <w:sz w:val="20"/>
          <w:szCs w:val="20"/>
          <w:color w:val="auto"/>
        </w:rPr>
      </w:pPr>
      <w:r>
        <w:rPr>
          <w:rFonts w:ascii="Courier New" w:cs="Courier New" w:eastAsia="Courier New" w:hAnsi="Courier New"/>
          <w:sz w:val="18"/>
          <w:szCs w:val="18"/>
          <w:color w:val="auto"/>
        </w:rPr>
        <w:t>Net deferred tax assets consist of the following components as of September 30, 1999 and 1998: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r>
      <w:tr>
        <w:trPr>
          <w:trHeight w:val="202"/>
        </w:trPr>
        <w:tc>
          <w:tcPr>
            <w:tcW w:w="3160" w:type="dxa"/>
            <w:vAlign w:val="bottom"/>
          </w:tcPr>
          <w:p>
            <w:pPr>
              <w:spacing w:after="0"/>
              <w:rPr>
                <w:sz w:val="17"/>
                <w:szCs w:val="17"/>
                <w:color w:val="auto"/>
              </w:rPr>
            </w:pP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2"/>
        </w:trPr>
        <w:tc>
          <w:tcPr>
            <w:tcW w:w="31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Operating loss carryforward</w:t>
            </w: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$2,534,437</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$2,925,495</w:t>
            </w:r>
          </w:p>
        </w:tc>
      </w:tr>
      <w:tr>
        <w:trPr>
          <w:trHeight w:val="202"/>
        </w:trPr>
        <w:tc>
          <w:tcPr>
            <w:tcW w:w="31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Inventory</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204,113</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211,970</w:t>
            </w:r>
          </w:p>
        </w:tc>
      </w:tr>
      <w:tr>
        <w:trPr>
          <w:trHeight w:val="202"/>
        </w:trPr>
        <w:tc>
          <w:tcPr>
            <w:tcW w:w="31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Tax credit carryforward</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15,269</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15,269</w:t>
            </w:r>
          </w:p>
        </w:tc>
      </w:tr>
      <w:tr>
        <w:trPr>
          <w:trHeight w:val="202"/>
        </w:trPr>
        <w:tc>
          <w:tcPr>
            <w:tcW w:w="31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Property and equipment</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9,744</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8,345</w:t>
            </w:r>
          </w:p>
        </w:tc>
      </w:tr>
      <w:tr>
        <w:trPr>
          <w:trHeight w:val="202"/>
        </w:trPr>
        <w:tc>
          <w:tcPr>
            <w:tcW w:w="31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Accrued warranty</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340</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160" w:type="dxa"/>
            <w:vAlign w:val="bottom"/>
          </w:tcPr>
          <w:p>
            <w:pPr>
              <w:spacing w:after="0"/>
              <w:rPr>
                <w:sz w:val="17"/>
                <w:szCs w:val="17"/>
                <w:color w:val="auto"/>
              </w:rPr>
            </w:pP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2,763,903</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4"/>
              </w:rPr>
              <w:t>3,161,079</w:t>
            </w:r>
          </w:p>
        </w:tc>
      </w:tr>
      <w:tr>
        <w:trPr>
          <w:trHeight w:val="202"/>
        </w:trPr>
        <w:tc>
          <w:tcPr>
            <w:tcW w:w="316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Less valuation allowance</w:t>
            </w:r>
          </w:p>
        </w:tc>
        <w:tc>
          <w:tcPr>
            <w:tcW w:w="2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2,763,903</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4"/>
              </w:rPr>
              <w:t>3,161,079</w:t>
            </w:r>
          </w:p>
        </w:tc>
      </w:tr>
      <w:tr>
        <w:trPr>
          <w:trHeight w:val="202"/>
        </w:trPr>
        <w:tc>
          <w:tcPr>
            <w:tcW w:w="3160" w:type="dxa"/>
            <w:vAlign w:val="bottom"/>
          </w:tcPr>
          <w:p>
            <w:pPr>
              <w:spacing w:after="0"/>
              <w:rPr>
                <w:sz w:val="17"/>
                <w:szCs w:val="17"/>
                <w:color w:val="auto"/>
              </w:rPr>
            </w:pP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1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3160" w:type="dxa"/>
            <w:vAlign w:val="bottom"/>
          </w:tcPr>
          <w:p>
            <w:pPr>
              <w:spacing w:after="0"/>
              <w:rPr>
                <w:sz w:val="17"/>
                <w:szCs w:val="17"/>
                <w:color w:val="auto"/>
              </w:rPr>
            </w:pPr>
          </w:p>
        </w:tc>
        <w:tc>
          <w:tcPr>
            <w:tcW w:w="12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8"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The Company recorded a full valuation allowance on the deferred tax assets due to lack of assurance that the tax benefits can be realized. Realization of deferred tax assets is dependent upon sufficient future taxable income during the period that deductible temporary differences and carryforwards are expected to be available to reduce taxable income.</w:t>
      </w:r>
    </w:p>
    <w:p>
      <w:pPr>
        <w:spacing w:after="0" w:line="210" w:lineRule="exact"/>
        <w:rPr>
          <w:sz w:val="20"/>
          <w:szCs w:val="20"/>
          <w:color w:val="auto"/>
        </w:rPr>
      </w:pPr>
    </w:p>
    <w:p>
      <w:pPr>
        <w:jc w:val="both"/>
        <w:ind w:right="1719"/>
        <w:spacing w:after="0" w:line="273" w:lineRule="auto"/>
        <w:rPr>
          <w:sz w:val="20"/>
          <w:szCs w:val="20"/>
          <w:color w:val="auto"/>
        </w:rPr>
      </w:pPr>
      <w:r>
        <w:rPr>
          <w:rFonts w:ascii="Courier New" w:cs="Courier New" w:eastAsia="Courier New" w:hAnsi="Courier New"/>
          <w:sz w:val="16"/>
          <w:szCs w:val="16"/>
          <w:color w:val="auto"/>
        </w:rPr>
        <w:t>At September 30, 1999, the Company has for tax reporting purposes approximately $15,000 in unused research and development credits and a net operating loss carryforward of approximately $7,454,000 available to be offset against future federal taxable income or income tax liabilities. These carryforwards expire in varying amounts in years ending September 30, 2000 through 2012.</w:t>
      </w:r>
    </w:p>
    <w:p>
      <w:pPr>
        <w:spacing w:after="0" w:line="181" w:lineRule="exact"/>
        <w:rPr>
          <w:sz w:val="20"/>
          <w:szCs w:val="20"/>
          <w:color w:val="auto"/>
        </w:rPr>
      </w:pPr>
    </w:p>
    <w:p>
      <w:pPr>
        <w:jc w:val="both"/>
        <w:ind w:right="1719"/>
        <w:spacing w:after="0" w:line="278" w:lineRule="auto"/>
        <w:rPr>
          <w:sz w:val="20"/>
          <w:szCs w:val="20"/>
          <w:color w:val="auto"/>
        </w:rPr>
      </w:pPr>
      <w:r>
        <w:rPr>
          <w:rFonts w:ascii="Courier New" w:cs="Courier New" w:eastAsia="Courier New" w:hAnsi="Courier New"/>
          <w:sz w:val="16"/>
          <w:szCs w:val="16"/>
          <w:color w:val="auto"/>
        </w:rPr>
        <w:t>The income tax provision differs from the amount of income tax determined by applying the U.S. federal income tax rate to pretax (loss) from continuing operations for the years ended September 30, 1999 and 1998 due to the following:</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17"/>
                <w:szCs w:val="17"/>
                <w:color w:val="auto"/>
              </w:rPr>
            </w:pP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1998</w:t>
            </w:r>
          </w:p>
        </w:tc>
      </w:tr>
      <w:tr>
        <w:trPr>
          <w:trHeight w:val="202"/>
        </w:trPr>
        <w:tc>
          <w:tcPr>
            <w:tcW w:w="5520" w:type="dxa"/>
            <w:vAlign w:val="bottom"/>
          </w:tcPr>
          <w:p>
            <w:pPr>
              <w:spacing w:after="0"/>
              <w:rPr>
                <w:sz w:val="17"/>
                <w:szCs w:val="17"/>
                <w:color w:val="auto"/>
              </w:rPr>
            </w:pPr>
          </w:p>
        </w:tc>
        <w:tc>
          <w:tcPr>
            <w:tcW w:w="13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4"/>
              </w:rPr>
              <w:t>---------</w:t>
            </w:r>
          </w:p>
        </w:tc>
      </w:tr>
      <w:tr>
        <w:trPr>
          <w:trHeight w:val="404"/>
        </w:trPr>
        <w:tc>
          <w:tcPr>
            <w:tcW w:w="5520" w:type="dxa"/>
            <w:vAlign w:val="bottom"/>
          </w:tcPr>
          <w:p>
            <w:pPr>
              <w:spacing w:after="0"/>
              <w:rPr>
                <w:sz w:val="20"/>
                <w:szCs w:val="20"/>
                <w:color w:val="auto"/>
              </w:rPr>
            </w:pPr>
            <w:r>
              <w:rPr>
                <w:rFonts w:ascii="Courier New" w:cs="Courier New" w:eastAsia="Courier New" w:hAnsi="Courier New"/>
                <w:sz w:val="18"/>
                <w:szCs w:val="18"/>
                <w:color w:val="auto"/>
              </w:rPr>
              <w:t>Computed "expected" tax (credits)</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$(128,961)</w:t>
            </w:r>
          </w:p>
        </w:tc>
        <w:tc>
          <w:tcPr>
            <w:tcW w:w="10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4"/>
              </w:rPr>
              <w:t>$(57,759)</w:t>
            </w:r>
          </w:p>
        </w:tc>
      </w:tr>
      <w:tr>
        <w:trPr>
          <w:trHeight w:val="202"/>
        </w:trPr>
        <w:tc>
          <w:tcPr>
            <w:tcW w:w="55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Increase (decrease) in income taxes resulting from:</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55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Issuance of common stock to related parties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552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for satisfaction of Company liabilities</w:t>
            </w:r>
          </w:p>
        </w:tc>
        <w:tc>
          <w:tcPr>
            <w:tcW w:w="320" w:type="dxa"/>
            <w:vAlign w:val="bottom"/>
          </w:tcPr>
          <w:p>
            <w:pPr>
              <w:spacing w:after="0"/>
              <w:rPr>
                <w:sz w:val="17"/>
                <w:szCs w:val="17"/>
                <w:color w:val="auto"/>
              </w:rPr>
            </w:pPr>
          </w:p>
        </w:tc>
        <w:tc>
          <w:tcPr>
            <w:tcW w:w="10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201,307</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55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Change in valuation allowance, excluding change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552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related to extraordinary income of $326,897</w:t>
            </w:r>
          </w:p>
        </w:tc>
        <w:tc>
          <w:tcPr>
            <w:tcW w:w="32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(70,279)</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56,109</w:t>
            </w:r>
          </w:p>
        </w:tc>
      </w:tr>
      <w:tr>
        <w:trPr>
          <w:trHeight w:val="202"/>
        </w:trPr>
        <w:tc>
          <w:tcPr>
            <w:tcW w:w="55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Other, related to tax bracket rate differences</w:t>
            </w:r>
          </w:p>
        </w:tc>
        <w:tc>
          <w:tcPr>
            <w:tcW w:w="32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(2,067)</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1,650</w:t>
            </w:r>
          </w:p>
        </w:tc>
      </w:tr>
      <w:tr>
        <w:trPr>
          <w:trHeight w:val="202"/>
        </w:trPr>
        <w:tc>
          <w:tcPr>
            <w:tcW w:w="5520" w:type="dxa"/>
            <w:vAlign w:val="bottom"/>
          </w:tcPr>
          <w:p>
            <w:pPr>
              <w:spacing w:after="0"/>
              <w:rPr>
                <w:sz w:val="17"/>
                <w:szCs w:val="17"/>
                <w:color w:val="auto"/>
              </w:rPr>
            </w:pPr>
          </w:p>
        </w:tc>
        <w:tc>
          <w:tcPr>
            <w:tcW w:w="13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4"/>
              </w:rPr>
              <w:t>---------</w:t>
            </w:r>
          </w:p>
        </w:tc>
      </w:tr>
      <w:tr>
        <w:trPr>
          <w:trHeight w:val="202"/>
        </w:trPr>
        <w:tc>
          <w:tcPr>
            <w:tcW w:w="55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5520" w:type="dxa"/>
            <w:vAlign w:val="bottom"/>
          </w:tcPr>
          <w:p>
            <w:pPr>
              <w:spacing w:after="0"/>
              <w:rPr>
                <w:sz w:val="17"/>
                <w:szCs w:val="17"/>
                <w:color w:val="auto"/>
              </w:rPr>
            </w:pPr>
          </w:p>
        </w:tc>
        <w:tc>
          <w:tcPr>
            <w:tcW w:w="13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4"/>
              </w:rPr>
              <w:t>=========</w:t>
            </w:r>
          </w:p>
        </w:tc>
      </w:tr>
      <w:tr>
        <w:trPr>
          <w:trHeight w:val="808"/>
        </w:trPr>
        <w:tc>
          <w:tcPr>
            <w:tcW w:w="5520" w:type="dxa"/>
            <w:vAlign w:val="bottom"/>
          </w:tcPr>
          <w:p>
            <w:pPr>
              <w:ind w:left="4000"/>
              <w:spacing w:after="0"/>
              <w:rPr>
                <w:sz w:val="20"/>
                <w:szCs w:val="20"/>
                <w:color w:val="auto"/>
              </w:rPr>
            </w:pPr>
            <w:r>
              <w:rPr>
                <w:rFonts w:ascii="Courier New" w:cs="Courier New" w:eastAsia="Courier New" w:hAnsi="Courier New"/>
                <w:sz w:val="18"/>
                <w:szCs w:val="18"/>
                <w:color w:val="auto"/>
              </w:rPr>
              <w:t>F-10</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139"/>
          </w:cols>
          <w:pgMar w:left="320" w:top="513" w:right="1440" w:bottom="1440" w:gutter="0" w:footer="0" w:header="0"/>
        </w:sectPr>
      </w:pPr>
    </w:p>
    <w:bookmarkStart w:id="23" w:name="page24"/>
    <w:bookmarkEnd w:id="23"/>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720" w:val="left"/>
          <w:tab w:leader="none" w:pos="1140" w:val="left"/>
          <w:tab w:leader="none" w:pos="2300" w:val="left"/>
        </w:tabs>
        <w:rPr>
          <w:sz w:val="20"/>
          <w:szCs w:val="20"/>
          <w:color w:val="auto"/>
        </w:rPr>
      </w:pPr>
      <w:r>
        <w:rPr>
          <w:rFonts w:ascii="Courier New" w:cs="Courier New" w:eastAsia="Courier New" w:hAnsi="Courier New"/>
          <w:sz w:val="18"/>
          <w:szCs w:val="18"/>
          <w:color w:val="auto"/>
        </w:rPr>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6.</w:t>
      </w:r>
      <w:r>
        <w:rPr>
          <w:rFonts w:ascii="Courier New" w:cs="Courier New" w:eastAsia="Courier New" w:hAnsi="Courier New"/>
          <w:sz w:val="16"/>
          <w:szCs w:val="16"/>
          <w:color w:val="auto"/>
        </w:rPr>
        <w:t>STOCK  ISSUED  FOR  SERVICES</w:t>
      </w:r>
    </w:p>
    <w:p>
      <w:pPr>
        <w:spacing w:after="0" w:line="206"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During 1999, an individual performed consulting and other services and was compensated with 11,000 shares of restricted common stock. As a result of the issuance of this stock, $11 was included in common stock, $319 was included in additional paid-in-capital, and $330 was included in expense in the accompanying financial statements.</w:t>
      </w:r>
    </w:p>
    <w:p>
      <w:pPr>
        <w:spacing w:after="0" w:line="210" w:lineRule="exact"/>
        <w:rPr>
          <w:sz w:val="20"/>
          <w:szCs w:val="20"/>
          <w:color w:val="auto"/>
        </w:rPr>
      </w:pPr>
    </w:p>
    <w:p>
      <w:pPr>
        <w:jc w:val="both"/>
        <w:ind w:right="1719"/>
        <w:spacing w:after="0" w:line="273" w:lineRule="auto"/>
        <w:rPr>
          <w:sz w:val="20"/>
          <w:szCs w:val="20"/>
          <w:color w:val="auto"/>
        </w:rPr>
      </w:pPr>
      <w:r>
        <w:rPr>
          <w:rFonts w:ascii="Courier New" w:cs="Courier New" w:eastAsia="Courier New" w:hAnsi="Courier New"/>
          <w:sz w:val="16"/>
          <w:szCs w:val="16"/>
          <w:color w:val="auto"/>
        </w:rPr>
        <w:t>During 1998, two directors of the Company performed consulting and other services. Each director was compensated through the issuance of 12,000 shares of restricted common stock. As a result of the issuance of this stock, $24 was included in common stock, $696 was included in additional paid-in-capital, and $720 was included in expense in the accompanying financial statements.</w:t>
      </w:r>
    </w:p>
    <w:p>
      <w:pPr>
        <w:spacing w:after="0" w:line="175" w:lineRule="exact"/>
        <w:rPr>
          <w:sz w:val="20"/>
          <w:szCs w:val="20"/>
          <w:color w:val="auto"/>
        </w:rPr>
      </w:pPr>
    </w:p>
    <w:p>
      <w:pPr>
        <w:spacing w:after="0"/>
        <w:tabs>
          <w:tab w:leader="none" w:pos="620" w:val="left"/>
          <w:tab w:leader="none" w:pos="1360" w:val="left"/>
          <w:tab w:leader="none" w:pos="2080" w:val="left"/>
        </w:tabs>
        <w:rPr>
          <w:sz w:val="20"/>
          <w:szCs w:val="20"/>
          <w:color w:val="auto"/>
        </w:rPr>
      </w:pPr>
      <w:r>
        <w:rPr>
          <w:rFonts w:ascii="Courier New" w:cs="Courier New" w:eastAsia="Courier New" w:hAnsi="Courier New"/>
          <w:sz w:val="18"/>
          <w:szCs w:val="18"/>
          <w:color w:val="auto"/>
        </w:rPr>
        <w:t>NOTE</w:t>
        <w:tab/>
        <w:t>7.</w:t>
      </w:r>
      <w:r>
        <w:rPr>
          <w:sz w:val="20"/>
          <w:szCs w:val="20"/>
          <w:color w:val="auto"/>
        </w:rPr>
        <w:tab/>
      </w: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6"/>
          <w:szCs w:val="16"/>
          <w:color w:val="auto"/>
        </w:rPr>
        <w:t>OPTIONS</w:t>
      </w:r>
    </w:p>
    <w:p>
      <w:pPr>
        <w:spacing w:after="0" w:line="206"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The Company has two incentive stock option plans. A total of 133,333 options are available under the plans to be granted to employees and other individuals that provide services to the Company. Options granted are at the discretion of the Board of Directors and vest with the option holder over a 48 or 36 month period of continuous service with the Company. The option price is established by the Board of Directors, but at a price not less than fair market value for incentive stock options and a price not less than 85% of fair market value for nonstatutory stock options</w:t>
      </w:r>
    </w:p>
    <w:p>
      <w:pPr>
        <w:spacing w:after="0" w:line="207"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During the years ending September 30, 1999 and 1998, no options were granted, forfeited or exercised. Accordingly, at September 30, 1999 and 1998, 83,834 options were outstanding at a weighted average exercise price of $.26.</w:t>
      </w:r>
    </w:p>
    <w:p>
      <w:pPr>
        <w:sectPr>
          <w:pgSz w:w="11900" w:h="16838" w:orient="portrait"/>
          <w:cols w:equalWidth="0" w:num="1">
            <w:col w:w="10139"/>
          </w:cols>
          <w:pgMar w:left="320" w:top="51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options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September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are summarized as follows:</w:t>
      </w:r>
    </w:p>
    <w:p>
      <w:pPr>
        <w:spacing w:after="0" w:line="216" w:lineRule="exact"/>
        <w:rPr>
          <w:sz w:val="20"/>
          <w:szCs w:val="20"/>
          <w:color w:val="auto"/>
        </w:rPr>
      </w:pPr>
    </w:p>
    <w:p>
      <w:pPr>
        <w:sectPr>
          <w:pgSz w:w="11900" w:h="16838" w:orient="portrait"/>
          <w:cols w:equalWidth="0" w:num="7">
            <w:col w:w="540" w:space="200"/>
            <w:col w:w="740" w:space="200"/>
            <w:col w:w="1160" w:space="220"/>
            <w:col w:w="200" w:space="220"/>
            <w:col w:w="940" w:space="220"/>
            <w:col w:w="300" w:space="220"/>
            <w:col w:w="4979"/>
          </w:cols>
          <w:pgMar w:left="320" w:top="513"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Options Outstanding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Exercisable</w:t>
      </w:r>
    </w:p>
    <w:p>
      <w:pPr>
        <w:spacing w:after="0" w:line="21" w:lineRule="exact"/>
        <w:rPr>
          <w:sz w:val="20"/>
          <w:szCs w:val="20"/>
          <w:color w:val="auto"/>
        </w:rPr>
      </w:pPr>
    </w:p>
    <w:p>
      <w:pPr>
        <w:sectPr>
          <w:pgSz w:w="11900" w:h="16838" w:orient="portrait"/>
          <w:cols w:equalWidth="0" w:num="2">
            <w:col w:w="2440" w:space="720"/>
            <w:col w:w="6979"/>
          </w:cols>
          <w:pgMar w:left="320" w:top="513" w:right="1440" w:bottom="1440" w:gutter="0" w:footer="0" w:header="0"/>
          <w:type w:val="continuous"/>
        </w:sect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060"/>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Remaining</w:t>
      </w:r>
    </w:p>
    <w:p>
      <w:pPr>
        <w:sectPr>
          <w:pgSz w:w="11900" w:h="16838" w:orient="portrait"/>
          <w:cols w:equalWidth="0" w:num="1">
            <w:col w:w="10139"/>
          </w:cols>
          <w:pgMar w:left="320" w:top="513" w:right="1440" w:bottom="1440" w:gutter="0" w:footer="0" w:header="0"/>
          <w:type w:val="continuous"/>
        </w:sectPr>
      </w:pP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Number</w:t>
      </w:r>
    </w:p>
    <w:p>
      <w:pPr>
        <w:spacing w:after="0"/>
        <w:tabs>
          <w:tab w:leader="none" w:pos="136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6"/>
          <w:szCs w:val="16"/>
          <w:color w:val="auto"/>
        </w:rPr>
        <w:t>Exercisable</w:t>
      </w:r>
    </w:p>
    <w:p>
      <w:pPr>
        <w:spacing w:after="0"/>
        <w:tabs>
          <w:tab w:leader="none" w:pos="15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1880" w:val="left"/>
        </w:tabs>
        <w:rPr>
          <w:sz w:val="20"/>
          <w:szCs w:val="20"/>
          <w:color w:val="auto"/>
        </w:rPr>
      </w:pPr>
      <w:r>
        <w:rPr>
          <w:rFonts w:ascii="Courier New" w:cs="Courier New" w:eastAsia="Courier New" w:hAnsi="Courier New"/>
          <w:sz w:val="18"/>
          <w:szCs w:val="18"/>
          <w:color w:val="auto"/>
        </w:rPr>
        <w:t>Contractual Life</w:t>
      </w:r>
      <w:r>
        <w:rPr>
          <w:sz w:val="20"/>
          <w:szCs w:val="20"/>
          <w:color w:val="auto"/>
        </w:rPr>
        <w:tab/>
      </w:r>
      <w:r>
        <w:rPr>
          <w:rFonts w:ascii="Courier New" w:cs="Courier New" w:eastAsia="Courier New" w:hAnsi="Courier New"/>
          <w:sz w:val="16"/>
          <w:szCs w:val="16"/>
          <w:color w:val="auto"/>
        </w:rPr>
        <w:t>Exercise</w:t>
      </w:r>
    </w:p>
    <w:p>
      <w:pPr>
        <w:ind w:left="620"/>
        <w:spacing w:after="0" w:line="238" w:lineRule="auto"/>
        <w:tabs>
          <w:tab w:leader="none" w:pos="2080" w:val="left"/>
        </w:tabs>
        <w:rPr>
          <w:sz w:val="20"/>
          <w:szCs w:val="20"/>
          <w:color w:val="auto"/>
        </w:rPr>
      </w:pPr>
      <w:r>
        <w:rPr>
          <w:rFonts w:ascii="Courier New" w:cs="Courier New" w:eastAsia="Courier New" w:hAnsi="Courier New"/>
          <w:sz w:val="18"/>
          <w:szCs w:val="18"/>
          <w:color w:val="auto"/>
        </w:rPr>
        <w:t>Life</w:t>
      </w:r>
      <w:r>
        <w:rPr>
          <w:sz w:val="20"/>
          <w:szCs w:val="20"/>
          <w:color w:val="auto"/>
        </w:rPr>
        <w:tab/>
      </w:r>
      <w:r>
        <w:rPr>
          <w:rFonts w:ascii="Courier New" w:cs="Courier New" w:eastAsia="Courier New" w:hAnsi="Courier New"/>
          <w:sz w:val="18"/>
          <w:szCs w:val="18"/>
          <w:color w:val="auto"/>
        </w:rPr>
        <w:t>Price</w:t>
      </w:r>
    </w:p>
    <w:p>
      <w:pPr>
        <w:spacing w:after="0" w:line="4" w:lineRule="exact"/>
        <w:rPr>
          <w:sz w:val="20"/>
          <w:szCs w:val="20"/>
          <w:color w:val="auto"/>
        </w:rPr>
      </w:pPr>
    </w:p>
    <w:p>
      <w:pPr>
        <w:ind w:left="200"/>
        <w:spacing w:after="0"/>
        <w:tabs>
          <w:tab w:leader="none" w:pos="2080" w:val="left"/>
        </w:tabs>
        <w:rPr>
          <w:sz w:val="20"/>
          <w:szCs w:val="20"/>
          <w:color w:val="auto"/>
        </w:rPr>
      </w:pPr>
      <w:r>
        <w:rPr>
          <w:rFonts w:ascii="Courier New" w:cs="Courier New" w:eastAsia="Courier New" w:hAnsi="Courier New"/>
          <w:sz w:val="16"/>
          <w:szCs w:val="16"/>
          <w:color w:val="auto"/>
        </w:rPr>
        <w:t>----------------</w:t>
        <w:tab/>
        <w:t>---------</w:t>
      </w:r>
    </w:p>
    <w:p>
      <w:pPr>
        <w:spacing w:after="0" w:line="216" w:lineRule="exact"/>
        <w:rPr>
          <w:sz w:val="20"/>
          <w:szCs w:val="20"/>
          <w:color w:val="auto"/>
        </w:rPr>
      </w:pPr>
    </w:p>
    <w:p>
      <w:pPr>
        <w:sectPr>
          <w:pgSz w:w="11900" w:h="16838" w:orient="portrait"/>
          <w:cols w:equalWidth="0" w:num="2">
            <w:col w:w="2740" w:space="0"/>
            <w:col w:w="7399"/>
          </w:cols>
          <w:pgMar w:left="320" w:top="513" w:right="1440"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Courier New" w:cs="Courier New" w:eastAsia="Courier New" w:hAnsi="Courier New"/>
                <w:sz w:val="18"/>
                <w:szCs w:val="18"/>
                <w:color w:val="auto"/>
              </w:rPr>
              <w:t>5,334</w:t>
            </w:r>
          </w:p>
        </w:tc>
        <w:tc>
          <w:tcPr>
            <w:tcW w:w="1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5,334</w:t>
            </w:r>
          </w:p>
        </w:tc>
        <w:tc>
          <w:tcPr>
            <w:tcW w:w="68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1 year  $</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0.25</w:t>
            </w:r>
          </w:p>
        </w:tc>
      </w:tr>
      <w:tr>
        <w:trPr>
          <w:trHeight w:val="202"/>
        </w:trPr>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rPr>
              <w:t>4,000</w:t>
            </w:r>
          </w:p>
        </w:tc>
        <w:tc>
          <w:tcPr>
            <w:tcW w:w="184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4,000</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years</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0.25</w:t>
            </w:r>
          </w:p>
        </w:tc>
      </w:tr>
      <w:tr>
        <w:trPr>
          <w:trHeight w:val="202"/>
        </w:trPr>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rPr>
              <w:t>3,000</w:t>
            </w:r>
          </w:p>
        </w:tc>
        <w:tc>
          <w:tcPr>
            <w:tcW w:w="184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3,000</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years</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0.25</w:t>
            </w:r>
          </w:p>
        </w:tc>
      </w:tr>
      <w:tr>
        <w:trPr>
          <w:trHeight w:val="202"/>
        </w:trPr>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rPr>
              <w:t>21,000</w:t>
            </w:r>
          </w:p>
        </w:tc>
        <w:tc>
          <w:tcPr>
            <w:tcW w:w="184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21,000</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years</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0.25</w:t>
            </w:r>
          </w:p>
        </w:tc>
      </w:tr>
      <w:tr>
        <w:trPr>
          <w:trHeight w:val="202"/>
        </w:trPr>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rPr>
              <w:t>36,000</w:t>
            </w:r>
          </w:p>
        </w:tc>
        <w:tc>
          <w:tcPr>
            <w:tcW w:w="184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36,000</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years</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0.25</w:t>
            </w:r>
          </w:p>
        </w:tc>
      </w:tr>
      <w:tr>
        <w:trPr>
          <w:trHeight w:val="202"/>
        </w:trPr>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rPr>
              <w:t>14,500</w:t>
            </w:r>
          </w:p>
        </w:tc>
        <w:tc>
          <w:tcPr>
            <w:tcW w:w="184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12,684</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w:t>
            </w:r>
          </w:p>
        </w:tc>
        <w:tc>
          <w:tcPr>
            <w:tcW w:w="1160" w:type="dxa"/>
            <w:vAlign w:val="bottom"/>
          </w:tcPr>
          <w:p>
            <w:pPr>
              <w:ind w:left="120"/>
              <w:spacing w:after="0" w:line="202" w:lineRule="exact"/>
              <w:rPr>
                <w:sz w:val="20"/>
                <w:szCs w:val="20"/>
                <w:color w:val="auto"/>
              </w:rPr>
            </w:pPr>
            <w:r>
              <w:rPr>
                <w:rFonts w:ascii="Courier New" w:cs="Courier New" w:eastAsia="Courier New" w:hAnsi="Courier New"/>
                <w:sz w:val="18"/>
                <w:szCs w:val="18"/>
                <w:color w:val="auto"/>
              </w:rPr>
              <w:t>years</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0.32</w:t>
            </w:r>
          </w:p>
        </w:tc>
      </w:tr>
    </w:tbl>
    <w:p>
      <w:pPr>
        <w:ind w:left="220" w:hanging="212"/>
        <w:spacing w:after="0" w:line="237"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83,834</w:t>
      </w:r>
      <w:r>
        <w:rPr>
          <w:rFonts w:ascii="Courier New" w:cs="Courier New" w:eastAsia="Courier New" w:hAnsi="Courier New"/>
          <w:sz w:val="16"/>
          <w:szCs w:val="16"/>
          <w:color w:val="auto"/>
        </w:rPr>
        <w:t>82,018</w:t>
      </w:r>
    </w:p>
    <w:p>
      <w:pPr>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139"/>
          </w:cols>
          <w:pgMar w:left="320" w:top="513" w:right="1440" w:bottom="1440" w:gutter="0" w:footer="0" w:header="0"/>
          <w:type w:val="continuous"/>
        </w:sectPr>
      </w:pPr>
    </w:p>
    <w:bookmarkStart w:id="24" w:name="page25"/>
    <w:bookmarkEnd w:id="24"/>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720" w:val="left"/>
          <w:tab w:leader="none" w:pos="1140" w:val="left"/>
          <w:tab w:leader="none" w:pos="2300" w:val="left"/>
        </w:tabs>
        <w:rPr>
          <w:sz w:val="20"/>
          <w:szCs w:val="20"/>
          <w:color w:val="auto"/>
        </w:rPr>
      </w:pPr>
      <w:r>
        <w:rPr>
          <w:rFonts w:ascii="Courier New" w:cs="Courier New" w:eastAsia="Courier New" w:hAnsi="Courier New"/>
          <w:sz w:val="18"/>
          <w:szCs w:val="18"/>
          <w:color w:val="auto"/>
        </w:rPr>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  8.</w:t>
      </w:r>
      <w:r>
        <w:rPr>
          <w:rFonts w:ascii="Courier New" w:cs="Courier New" w:eastAsia="Courier New" w:hAnsi="Courier New"/>
          <w:sz w:val="16"/>
          <w:szCs w:val="16"/>
          <w:color w:val="auto"/>
        </w:rPr>
        <w:t>OTHER  STOCK  MATTERS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Series</w:t>
            </w:r>
          </w:p>
        </w:tc>
        <w:tc>
          <w:tcPr>
            <w:tcW w:w="420" w:type="dxa"/>
            <w:vAlign w:val="bottom"/>
          </w:tcPr>
          <w:p>
            <w:pPr>
              <w:jc w:val="center"/>
              <w:ind w:left="12"/>
              <w:spacing w:after="0"/>
              <w:rPr>
                <w:sz w:val="20"/>
                <w:szCs w:val="20"/>
                <w:color w:val="auto"/>
              </w:rPr>
            </w:pPr>
            <w:r>
              <w:rPr>
                <w:rFonts w:ascii="Courier New" w:cs="Courier New" w:eastAsia="Courier New" w:hAnsi="Courier New"/>
                <w:sz w:val="18"/>
                <w:szCs w:val="18"/>
                <w:color w:val="auto"/>
              </w:rPr>
              <w:t>A</w:t>
            </w:r>
          </w:p>
        </w:tc>
        <w:tc>
          <w:tcPr>
            <w:tcW w:w="10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preferred</w:t>
            </w:r>
          </w:p>
        </w:tc>
        <w:tc>
          <w:tcPr>
            <w:tcW w:w="9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stock:</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The</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series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A</w:t>
            </w:r>
          </w:p>
        </w:tc>
        <w:tc>
          <w:tcPr>
            <w:tcW w:w="11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preferred</w:t>
            </w:r>
          </w:p>
        </w:tc>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stock has a liquidation</w:t>
            </w:r>
          </w:p>
        </w:tc>
      </w:tr>
      <w:tr>
        <w:trPr>
          <w:trHeight w:val="202"/>
        </w:trPr>
        <w:tc>
          <w:tcPr>
            <w:tcW w:w="3060" w:type="dxa"/>
            <w:vAlign w:val="bottom"/>
            <w:gridSpan w:val="7"/>
          </w:tcPr>
          <w:p>
            <w:pPr>
              <w:spacing w:after="0" w:line="202" w:lineRule="exact"/>
              <w:rPr>
                <w:sz w:val="20"/>
                <w:szCs w:val="20"/>
                <w:color w:val="auto"/>
              </w:rPr>
            </w:pPr>
            <w:r>
              <w:rPr>
                <w:rFonts w:ascii="Courier New" w:cs="Courier New" w:eastAsia="Courier New" w:hAnsi="Courier New"/>
                <w:sz w:val="18"/>
                <w:szCs w:val="18"/>
                <w:color w:val="auto"/>
                <w:w w:val="97"/>
              </w:rPr>
              <w:t>- ---------------------------</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4480" w:type="dxa"/>
            <w:vAlign w:val="bottom"/>
            <w:gridSpan w:val="9"/>
          </w:tcPr>
          <w:p>
            <w:pPr>
              <w:spacing w:after="0" w:line="202" w:lineRule="exact"/>
              <w:rPr>
                <w:sz w:val="20"/>
                <w:szCs w:val="20"/>
                <w:color w:val="auto"/>
              </w:rPr>
            </w:pPr>
            <w:r>
              <w:rPr>
                <w:rFonts w:ascii="Courier New" w:cs="Courier New" w:eastAsia="Courier New" w:hAnsi="Courier New"/>
                <w:sz w:val="18"/>
                <w:szCs w:val="18"/>
                <w:color w:val="auto"/>
              </w:rPr>
              <w:t>preference  before  common  stock  ($1.35</w:t>
            </w:r>
          </w:p>
        </w:tc>
        <w:tc>
          <w:tcPr>
            <w:tcW w:w="30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$1.80</w:t>
            </w:r>
          </w:p>
        </w:tc>
        <w:tc>
          <w:tcPr>
            <w:tcW w:w="148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per share).</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Such stock is</w:t>
            </w:r>
          </w:p>
        </w:tc>
      </w:tr>
      <w:tr>
        <w:trPr>
          <w:trHeight w:val="202"/>
        </w:trPr>
        <w:tc>
          <w:tcPr>
            <w:tcW w:w="4480" w:type="dxa"/>
            <w:vAlign w:val="bottom"/>
            <w:gridSpan w:val="9"/>
          </w:tcPr>
          <w:p>
            <w:pPr>
              <w:spacing w:after="0" w:line="202" w:lineRule="exact"/>
              <w:rPr>
                <w:sz w:val="20"/>
                <w:szCs w:val="20"/>
                <w:color w:val="auto"/>
              </w:rPr>
            </w:pPr>
            <w:r>
              <w:rPr>
                <w:rFonts w:ascii="Courier New" w:cs="Courier New" w:eastAsia="Courier New" w:hAnsi="Courier New"/>
                <w:sz w:val="18"/>
                <w:szCs w:val="18"/>
                <w:color w:val="auto"/>
                <w:w w:val="98"/>
              </w:rPr>
              <w:t>nonvoting, has no dividend provisions, and</w:t>
            </w:r>
          </w:p>
        </w:tc>
        <w:tc>
          <w:tcPr>
            <w:tcW w:w="3940" w:type="dxa"/>
            <w:vAlign w:val="bottom"/>
            <w:gridSpan w:val="5"/>
          </w:tcPr>
          <w:p>
            <w:pPr>
              <w:jc w:val="right"/>
              <w:spacing w:after="0" w:line="202" w:lineRule="exact"/>
              <w:rPr>
                <w:sz w:val="20"/>
                <w:szCs w:val="20"/>
                <w:color w:val="auto"/>
              </w:rPr>
            </w:pPr>
            <w:r>
              <w:rPr>
                <w:rFonts w:ascii="Courier New" w:cs="Courier New" w:eastAsia="Courier New" w:hAnsi="Courier New"/>
                <w:sz w:val="18"/>
                <w:szCs w:val="18"/>
                <w:color w:val="auto"/>
                <w:w w:val="98"/>
              </w:rPr>
              <w:t>is convertible into common stock on a</w:t>
            </w:r>
          </w:p>
        </w:tc>
      </w:tr>
      <w:tr>
        <w:trPr>
          <w:trHeight w:val="202"/>
        </w:trPr>
        <w:tc>
          <w:tcPr>
            <w:tcW w:w="640" w:type="dxa"/>
            <w:vAlign w:val="bottom"/>
          </w:tcPr>
          <w:p>
            <w:pPr>
              <w:spacing w:after="0" w:line="202" w:lineRule="exact"/>
              <w:rPr>
                <w:sz w:val="20"/>
                <w:szCs w:val="20"/>
                <w:color w:val="auto"/>
              </w:rPr>
            </w:pPr>
            <w:r>
              <w:rPr>
                <w:rFonts w:ascii="Courier New" w:cs="Courier New" w:eastAsia="Courier New" w:hAnsi="Courier New"/>
                <w:sz w:val="18"/>
                <w:szCs w:val="18"/>
                <w:color w:val="auto"/>
              </w:rPr>
              <w:t>share</w:t>
            </w:r>
          </w:p>
        </w:tc>
        <w:tc>
          <w:tcPr>
            <w:tcW w:w="420" w:type="dxa"/>
            <w:vAlign w:val="bottom"/>
          </w:tcPr>
          <w:p>
            <w:pPr>
              <w:jc w:val="center"/>
              <w:ind w:left="12"/>
              <w:spacing w:after="0" w:line="202" w:lineRule="exact"/>
              <w:rPr>
                <w:sz w:val="20"/>
                <w:szCs w:val="20"/>
                <w:color w:val="auto"/>
              </w:rPr>
            </w:pPr>
            <w:r>
              <w:rPr>
                <w:rFonts w:ascii="Courier New" w:cs="Courier New" w:eastAsia="Courier New" w:hAnsi="Courier New"/>
                <w:sz w:val="18"/>
                <w:szCs w:val="18"/>
                <w:color w:val="auto"/>
                <w:w w:val="98"/>
              </w:rPr>
              <w:t>for</w:t>
            </w:r>
          </w:p>
        </w:tc>
        <w:tc>
          <w:tcPr>
            <w:tcW w:w="20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Courier New" w:cs="Courier New" w:eastAsia="Courier New" w:hAnsi="Courier New"/>
                <w:sz w:val="18"/>
                <w:szCs w:val="18"/>
                <w:color w:val="auto"/>
              </w:rPr>
              <w:t>share</w:t>
            </w:r>
          </w:p>
        </w:tc>
        <w:tc>
          <w:tcPr>
            <w:tcW w:w="4000" w:type="dxa"/>
            <w:vAlign w:val="bottom"/>
            <w:gridSpan w:val="8"/>
          </w:tcPr>
          <w:p>
            <w:pPr>
              <w:jc w:val="right"/>
              <w:spacing w:after="0" w:line="202" w:lineRule="exact"/>
              <w:rPr>
                <w:sz w:val="20"/>
                <w:szCs w:val="20"/>
                <w:color w:val="auto"/>
              </w:rPr>
            </w:pPr>
            <w:r>
              <w:rPr>
                <w:rFonts w:ascii="Courier New" w:cs="Courier New" w:eastAsia="Courier New" w:hAnsi="Courier New"/>
                <w:sz w:val="18"/>
                <w:szCs w:val="18"/>
                <w:color w:val="auto"/>
                <w:w w:val="99"/>
              </w:rPr>
              <w:t>basis with antidilution provisions if</w:t>
            </w:r>
          </w:p>
        </w:tc>
        <w:tc>
          <w:tcPr>
            <w:tcW w:w="25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additional common stock</w:t>
            </w:r>
          </w:p>
        </w:tc>
      </w:tr>
      <w:tr>
        <w:trPr>
          <w:trHeight w:val="202"/>
        </w:trPr>
        <w:tc>
          <w:tcPr>
            <w:tcW w:w="640" w:type="dxa"/>
            <w:vAlign w:val="bottom"/>
          </w:tcPr>
          <w:p>
            <w:pPr>
              <w:spacing w:after="0" w:line="202" w:lineRule="exact"/>
              <w:rPr>
                <w:sz w:val="20"/>
                <w:szCs w:val="20"/>
                <w:color w:val="auto"/>
              </w:rPr>
            </w:pPr>
            <w:r>
              <w:rPr>
                <w:rFonts w:ascii="Courier New" w:cs="Courier New" w:eastAsia="Courier New" w:hAnsi="Courier New"/>
                <w:sz w:val="18"/>
                <w:szCs w:val="18"/>
                <w:color w:val="auto"/>
              </w:rPr>
              <w:t>were</w:t>
            </w:r>
          </w:p>
        </w:tc>
        <w:tc>
          <w:tcPr>
            <w:tcW w:w="420" w:type="dxa"/>
            <w:vAlign w:val="bottom"/>
          </w:tcPr>
          <w:p>
            <w:pPr>
              <w:spacing w:after="0" w:line="202" w:lineRule="exact"/>
              <w:rPr>
                <w:sz w:val="20"/>
                <w:szCs w:val="20"/>
                <w:color w:val="auto"/>
              </w:rPr>
            </w:pPr>
            <w:r>
              <w:rPr>
                <w:rFonts w:ascii="Courier New" w:cs="Courier New" w:eastAsia="Courier New" w:hAnsi="Courier New"/>
                <w:sz w:val="18"/>
                <w:szCs w:val="18"/>
                <w:color w:val="auto"/>
              </w:rPr>
              <w:t>to</w:t>
            </w:r>
          </w:p>
        </w:tc>
        <w:tc>
          <w:tcPr>
            <w:tcW w:w="200" w:type="dxa"/>
            <w:vAlign w:val="bottom"/>
          </w:tcPr>
          <w:p>
            <w:pPr>
              <w:spacing w:after="0" w:line="202" w:lineRule="exact"/>
              <w:rPr>
                <w:sz w:val="20"/>
                <w:szCs w:val="20"/>
                <w:color w:val="auto"/>
              </w:rPr>
            </w:pPr>
            <w:r>
              <w:rPr>
                <w:rFonts w:ascii="Courier New" w:cs="Courier New" w:eastAsia="Courier New" w:hAnsi="Courier New"/>
                <w:sz w:val="18"/>
                <w:szCs w:val="18"/>
                <w:color w:val="auto"/>
                <w:w w:val="83"/>
              </w:rPr>
              <w:t>be</w:t>
            </w:r>
          </w:p>
        </w:tc>
        <w:tc>
          <w:tcPr>
            <w:tcW w:w="8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issued</w:t>
            </w:r>
          </w:p>
        </w:tc>
        <w:tc>
          <w:tcPr>
            <w:tcW w:w="96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w w:val="95"/>
              </w:rPr>
              <w:t>at less</w:t>
            </w:r>
          </w:p>
        </w:tc>
        <w:tc>
          <w:tcPr>
            <w:tcW w:w="2840" w:type="dxa"/>
            <w:vAlign w:val="bottom"/>
            <w:gridSpan w:val="5"/>
          </w:tcPr>
          <w:p>
            <w:pPr>
              <w:jc w:val="right"/>
              <w:spacing w:after="0" w:line="202" w:lineRule="exact"/>
              <w:rPr>
                <w:sz w:val="20"/>
                <w:szCs w:val="20"/>
                <w:color w:val="auto"/>
              </w:rPr>
            </w:pPr>
            <w:r>
              <w:rPr>
                <w:rFonts w:ascii="Courier New" w:cs="Courier New" w:eastAsia="Courier New" w:hAnsi="Courier New"/>
                <w:sz w:val="18"/>
                <w:szCs w:val="18"/>
                <w:color w:val="auto"/>
              </w:rPr>
              <w:t>than the preferred stock's</w:t>
            </w:r>
          </w:p>
        </w:tc>
        <w:tc>
          <w:tcPr>
            <w:tcW w:w="25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liquidation preference.</w:t>
            </w:r>
          </w:p>
        </w:tc>
      </w:tr>
      <w:tr>
        <w:trPr>
          <w:trHeight w:val="404"/>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Series</w:t>
            </w:r>
          </w:p>
        </w:tc>
        <w:tc>
          <w:tcPr>
            <w:tcW w:w="420" w:type="dxa"/>
            <w:vAlign w:val="bottom"/>
          </w:tcPr>
          <w:p>
            <w:pPr>
              <w:jc w:val="center"/>
              <w:ind w:left="12"/>
              <w:spacing w:after="0"/>
              <w:rPr>
                <w:sz w:val="20"/>
                <w:szCs w:val="20"/>
                <w:color w:val="auto"/>
              </w:rPr>
            </w:pPr>
            <w:r>
              <w:rPr>
                <w:rFonts w:ascii="Courier New" w:cs="Courier New" w:eastAsia="Courier New" w:hAnsi="Courier New"/>
                <w:sz w:val="18"/>
                <w:szCs w:val="18"/>
                <w:color w:val="auto"/>
              </w:rPr>
              <w:t>B</w:t>
            </w:r>
          </w:p>
        </w:tc>
        <w:tc>
          <w:tcPr>
            <w:tcW w:w="10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preferred</w:t>
            </w:r>
          </w:p>
        </w:tc>
        <w:tc>
          <w:tcPr>
            <w:tcW w:w="9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stock:</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The</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series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11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preferred</w:t>
            </w:r>
          </w:p>
        </w:tc>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stock has a liquidation</w:t>
            </w:r>
          </w:p>
        </w:tc>
      </w:tr>
      <w:tr>
        <w:trPr>
          <w:trHeight w:val="202"/>
        </w:trPr>
        <w:tc>
          <w:tcPr>
            <w:tcW w:w="3060" w:type="dxa"/>
            <w:vAlign w:val="bottom"/>
            <w:gridSpan w:val="7"/>
          </w:tcPr>
          <w:p>
            <w:pPr>
              <w:spacing w:after="0" w:line="202" w:lineRule="exact"/>
              <w:rPr>
                <w:sz w:val="20"/>
                <w:szCs w:val="20"/>
                <w:color w:val="auto"/>
              </w:rPr>
            </w:pPr>
            <w:r>
              <w:rPr>
                <w:rFonts w:ascii="Courier New" w:cs="Courier New" w:eastAsia="Courier New" w:hAnsi="Courier New"/>
                <w:sz w:val="18"/>
                <w:szCs w:val="18"/>
                <w:color w:val="auto"/>
                <w:w w:val="97"/>
              </w:rPr>
              <w:t>- ---------------------------</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10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6"/>
              </w:rPr>
              <w:t>preference</w:t>
            </w:r>
          </w:p>
        </w:tc>
        <w:tc>
          <w:tcPr>
            <w:tcW w:w="20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Courier New" w:cs="Courier New" w:eastAsia="Courier New" w:hAnsi="Courier New"/>
                <w:sz w:val="18"/>
                <w:szCs w:val="18"/>
                <w:color w:val="auto"/>
                <w:w w:val="95"/>
              </w:rPr>
              <w:t>before</w:t>
            </w:r>
          </w:p>
        </w:tc>
        <w:tc>
          <w:tcPr>
            <w:tcW w:w="200" w:type="dxa"/>
            <w:vAlign w:val="bottom"/>
          </w:tcPr>
          <w:p>
            <w:pPr>
              <w:spacing w:after="0"/>
              <w:rPr>
                <w:sz w:val="17"/>
                <w:szCs w:val="17"/>
                <w:color w:val="auto"/>
              </w:rPr>
            </w:pPr>
          </w:p>
        </w:tc>
        <w:tc>
          <w:tcPr>
            <w:tcW w:w="3420" w:type="dxa"/>
            <w:vAlign w:val="bottom"/>
            <w:gridSpan w:val="6"/>
          </w:tcPr>
          <w:p>
            <w:pPr>
              <w:spacing w:after="0" w:line="202" w:lineRule="exact"/>
              <w:rPr>
                <w:sz w:val="20"/>
                <w:szCs w:val="20"/>
                <w:color w:val="auto"/>
              </w:rPr>
            </w:pPr>
            <w:r>
              <w:rPr>
                <w:rFonts w:ascii="Courier New" w:cs="Courier New" w:eastAsia="Courier New" w:hAnsi="Courier New"/>
                <w:sz w:val="18"/>
                <w:szCs w:val="18"/>
                <w:color w:val="auto"/>
              </w:rPr>
              <w:t>common stock of $.15 per share.</w:t>
            </w:r>
          </w:p>
        </w:tc>
        <w:tc>
          <w:tcPr>
            <w:tcW w:w="3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The</w:t>
            </w:r>
          </w:p>
        </w:tc>
        <w:tc>
          <w:tcPr>
            <w:tcW w:w="25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stock is voting for the</w:t>
            </w:r>
          </w:p>
        </w:tc>
      </w:tr>
      <w:tr>
        <w:trPr>
          <w:trHeight w:val="202"/>
        </w:trPr>
        <w:tc>
          <w:tcPr>
            <w:tcW w:w="640" w:type="dxa"/>
            <w:vAlign w:val="bottom"/>
          </w:tcPr>
          <w:p>
            <w:pPr>
              <w:spacing w:after="0" w:line="202" w:lineRule="exact"/>
              <w:rPr>
                <w:sz w:val="20"/>
                <w:szCs w:val="20"/>
                <w:color w:val="auto"/>
              </w:rPr>
            </w:pPr>
            <w:r>
              <w:rPr>
                <w:rFonts w:ascii="Courier New" w:cs="Courier New" w:eastAsia="Courier New" w:hAnsi="Courier New"/>
                <w:sz w:val="18"/>
                <w:szCs w:val="18"/>
                <w:color w:val="auto"/>
              </w:rPr>
              <w:t>same</w:t>
            </w:r>
          </w:p>
        </w:tc>
        <w:tc>
          <w:tcPr>
            <w:tcW w:w="6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2"/>
              </w:rPr>
              <w:t>number</w:t>
            </w:r>
          </w:p>
        </w:tc>
        <w:tc>
          <w:tcPr>
            <w:tcW w:w="64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of</w:t>
            </w:r>
          </w:p>
        </w:tc>
        <w:tc>
          <w:tcPr>
            <w:tcW w:w="6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shares</w:t>
            </w:r>
          </w:p>
        </w:tc>
        <w:tc>
          <w:tcPr>
            <w:tcW w:w="4420" w:type="dxa"/>
            <w:vAlign w:val="bottom"/>
            <w:gridSpan w:val="7"/>
          </w:tcPr>
          <w:p>
            <w:pPr>
              <w:ind w:left="160"/>
              <w:spacing w:after="0" w:line="202" w:lineRule="exact"/>
              <w:rPr>
                <w:sz w:val="20"/>
                <w:szCs w:val="20"/>
                <w:color w:val="auto"/>
              </w:rPr>
            </w:pPr>
            <w:r>
              <w:rPr>
                <w:rFonts w:ascii="Courier New" w:cs="Courier New" w:eastAsia="Courier New" w:hAnsi="Courier New"/>
                <w:sz w:val="18"/>
                <w:szCs w:val="18"/>
                <w:color w:val="auto"/>
                <w:w w:val="98"/>
              </w:rPr>
              <w:t>in which it is entitled to be converted.</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The stock is</w:t>
            </w:r>
          </w:p>
        </w:tc>
      </w:tr>
      <w:tr>
        <w:trPr>
          <w:trHeight w:val="202"/>
        </w:trPr>
        <w:tc>
          <w:tcPr>
            <w:tcW w:w="126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rPr>
              <w:t>convertible</w:t>
            </w:r>
          </w:p>
        </w:tc>
        <w:tc>
          <w:tcPr>
            <w:tcW w:w="7160" w:type="dxa"/>
            <w:vAlign w:val="bottom"/>
            <w:gridSpan w:val="11"/>
          </w:tcPr>
          <w:p>
            <w:pPr>
              <w:jc w:val="right"/>
              <w:spacing w:after="0" w:line="202" w:lineRule="exact"/>
              <w:rPr>
                <w:sz w:val="20"/>
                <w:szCs w:val="20"/>
                <w:color w:val="auto"/>
              </w:rPr>
            </w:pPr>
            <w:r>
              <w:rPr>
                <w:rFonts w:ascii="Courier New" w:cs="Courier New" w:eastAsia="Courier New" w:hAnsi="Courier New"/>
                <w:sz w:val="18"/>
                <w:szCs w:val="18"/>
                <w:color w:val="auto"/>
                <w:w w:val="98"/>
              </w:rPr>
              <w:t>into common stock on a ten  to one share basis with a provision for</w:t>
            </w:r>
          </w:p>
        </w:tc>
      </w:tr>
      <w:tr>
        <w:trPr>
          <w:trHeight w:val="202"/>
        </w:trPr>
        <w:tc>
          <w:tcPr>
            <w:tcW w:w="640" w:type="dxa"/>
            <w:vAlign w:val="bottom"/>
          </w:tcPr>
          <w:p>
            <w:pPr>
              <w:spacing w:after="0" w:line="202" w:lineRule="exact"/>
              <w:rPr>
                <w:sz w:val="20"/>
                <w:szCs w:val="20"/>
                <w:color w:val="auto"/>
              </w:rPr>
            </w:pPr>
            <w:r>
              <w:rPr>
                <w:rFonts w:ascii="Courier New" w:cs="Courier New" w:eastAsia="Courier New" w:hAnsi="Courier New"/>
                <w:sz w:val="18"/>
                <w:szCs w:val="18"/>
                <w:color w:val="auto"/>
              </w:rPr>
              <w:t>this</w:t>
            </w:r>
          </w:p>
        </w:tc>
        <w:tc>
          <w:tcPr>
            <w:tcW w:w="126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rPr>
              <w:t>conversion</w:t>
            </w:r>
          </w:p>
        </w:tc>
        <w:tc>
          <w:tcPr>
            <w:tcW w:w="6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ratio</w:t>
            </w:r>
          </w:p>
        </w:tc>
        <w:tc>
          <w:tcPr>
            <w:tcW w:w="48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spacing w:after="0" w:line="202" w:lineRule="exact"/>
              <w:rPr>
                <w:sz w:val="20"/>
                <w:szCs w:val="20"/>
                <w:color w:val="auto"/>
              </w:rPr>
            </w:pPr>
            <w:r>
              <w:rPr>
                <w:rFonts w:ascii="Courier New" w:cs="Courier New" w:eastAsia="Courier New" w:hAnsi="Courier New"/>
                <w:sz w:val="18"/>
                <w:szCs w:val="18"/>
                <w:color w:val="auto"/>
              </w:rPr>
              <w:t>be</w:t>
            </w:r>
          </w:p>
        </w:tc>
        <w:tc>
          <w:tcPr>
            <w:tcW w:w="10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w w:val="94"/>
              </w:rPr>
              <w:t>adjusted</w:t>
            </w:r>
          </w:p>
        </w:tc>
        <w:tc>
          <w:tcPr>
            <w:tcW w:w="30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if</w:t>
            </w:r>
          </w:p>
        </w:tc>
        <w:tc>
          <w:tcPr>
            <w:tcW w:w="1120" w:type="dxa"/>
            <w:vAlign w:val="bottom"/>
            <w:gridSpan w:val="2"/>
          </w:tcPr>
          <w:p>
            <w:pPr>
              <w:jc w:val="center"/>
              <w:spacing w:after="0" w:line="202" w:lineRule="exact"/>
              <w:rPr>
                <w:sz w:val="20"/>
                <w:szCs w:val="20"/>
                <w:color w:val="auto"/>
              </w:rPr>
            </w:pPr>
            <w:r>
              <w:rPr>
                <w:rFonts w:ascii="Courier New" w:cs="Courier New" w:eastAsia="Courier New" w:hAnsi="Courier New"/>
                <w:sz w:val="18"/>
                <w:szCs w:val="18"/>
                <w:color w:val="auto"/>
                <w:w w:val="97"/>
              </w:rPr>
              <w:t>certain</w:t>
            </w:r>
          </w:p>
        </w:tc>
        <w:tc>
          <w:tcPr>
            <w:tcW w:w="2520" w:type="dxa"/>
            <w:vAlign w:val="bottom"/>
            <w:gridSpan w:val="2"/>
          </w:tcPr>
          <w:p>
            <w:pPr>
              <w:jc w:val="right"/>
              <w:ind w:right="972"/>
              <w:spacing w:after="0" w:line="202" w:lineRule="exact"/>
              <w:rPr>
                <w:sz w:val="20"/>
                <w:szCs w:val="20"/>
                <w:color w:val="auto"/>
              </w:rPr>
            </w:pPr>
            <w:r>
              <w:rPr>
                <w:rFonts w:ascii="Courier New" w:cs="Courier New" w:eastAsia="Courier New" w:hAnsi="Courier New"/>
                <w:sz w:val="18"/>
                <w:szCs w:val="18"/>
                <w:color w:val="auto"/>
                <w:w w:val="95"/>
              </w:rPr>
              <w:t>events  occur.</w:t>
            </w:r>
          </w:p>
        </w:tc>
      </w:tr>
    </w:tbl>
    <w:p>
      <w:pPr>
        <w:spacing w:after="0" w:line="200" w:lineRule="exact"/>
        <w:rPr>
          <w:sz w:val="20"/>
          <w:szCs w:val="20"/>
          <w:color w:val="auto"/>
        </w:rPr>
      </w:pPr>
    </w:p>
    <w:p>
      <w:pPr>
        <w:spacing w:after="0"/>
        <w:tabs>
          <w:tab w:leader="none" w:pos="620" w:val="left"/>
          <w:tab w:leader="none" w:pos="1360" w:val="left"/>
          <w:tab w:leader="none" w:pos="2080" w:val="left"/>
        </w:tabs>
        <w:rPr>
          <w:sz w:val="20"/>
          <w:szCs w:val="20"/>
          <w:color w:val="auto"/>
        </w:rPr>
      </w:pPr>
      <w:r>
        <w:rPr>
          <w:rFonts w:ascii="Courier New" w:cs="Courier New" w:eastAsia="Courier New" w:hAnsi="Courier New"/>
          <w:sz w:val="18"/>
          <w:szCs w:val="18"/>
          <w:color w:val="auto"/>
        </w:rPr>
        <w:t>NOTE</w:t>
        <w:tab/>
        <w:t>9.</w:t>
      </w:r>
      <w:r>
        <w:rPr>
          <w:sz w:val="20"/>
          <w:szCs w:val="20"/>
          <w:color w:val="auto"/>
        </w:rPr>
        <w:tab/>
      </w:r>
      <w:r>
        <w:rPr>
          <w:rFonts w:ascii="Courier New" w:cs="Courier New" w:eastAsia="Courier New" w:hAnsi="Courier New"/>
          <w:sz w:val="18"/>
          <w:szCs w:val="18"/>
          <w:color w:val="auto"/>
        </w:rPr>
        <w:t>MAJOR</w:t>
      </w:r>
      <w:r>
        <w:rPr>
          <w:sz w:val="20"/>
          <w:szCs w:val="20"/>
          <w:color w:val="auto"/>
        </w:rPr>
        <w:tab/>
      </w:r>
      <w:r>
        <w:rPr>
          <w:rFonts w:ascii="Courier New" w:cs="Courier New" w:eastAsia="Courier New" w:hAnsi="Courier New"/>
          <w:sz w:val="16"/>
          <w:szCs w:val="16"/>
          <w:color w:val="auto"/>
        </w:rPr>
        <w:t>CUSTOMERS.</w:t>
      </w:r>
    </w:p>
    <w:p>
      <w:pPr>
        <w:spacing w:after="0" w:line="206" w:lineRule="exact"/>
        <w:rPr>
          <w:sz w:val="20"/>
          <w:szCs w:val="20"/>
          <w:color w:val="auto"/>
        </w:rPr>
      </w:pPr>
    </w:p>
    <w:p>
      <w:pPr>
        <w:jc w:val="both"/>
        <w:ind w:right="1719" w:firstLine="8"/>
        <w:spacing w:after="0" w:line="267" w:lineRule="auto"/>
        <w:tabs>
          <w:tab w:leader="none" w:pos="31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 customer is defined as a customer to whom sales greater than 10% were made during the period. Sales to three customers amounted to $9,095, $7,200 and $6,080 respectively, and comprised 60% of the net sales for the year ended September 30, 1999. Sales to one customer amounted to $13,528, and comprised</w:t>
      </w:r>
    </w:p>
    <w:p>
      <w:pPr>
        <w:spacing w:after="0"/>
        <w:tabs>
          <w:tab w:leader="none" w:pos="520" w:val="left"/>
          <w:tab w:leader="none" w:pos="940" w:val="left"/>
          <w:tab w:leader="none" w:pos="1460" w:val="left"/>
          <w:tab w:leader="none" w:pos="1980" w:val="left"/>
          <w:tab w:leader="none" w:pos="2720" w:val="left"/>
          <w:tab w:leader="none" w:pos="3240" w:val="left"/>
          <w:tab w:leader="none" w:pos="3760" w:val="left"/>
          <w:tab w:leader="none" w:pos="4400" w:val="left"/>
          <w:tab w:leader="none" w:pos="5140" w:val="left"/>
          <w:tab w:leader="none" w:pos="6300" w:val="left"/>
          <w:tab w:leader="none" w:pos="6820" w:val="left"/>
        </w:tabs>
        <w:rPr>
          <w:sz w:val="20"/>
          <w:szCs w:val="20"/>
          <w:color w:val="auto"/>
        </w:rPr>
      </w:pPr>
      <w:r>
        <w:rPr>
          <w:rFonts w:ascii="Courier New" w:cs="Courier New" w:eastAsia="Courier New" w:hAnsi="Courier New"/>
          <w:sz w:val="18"/>
          <w:szCs w:val="18"/>
          <w:color w:val="auto"/>
        </w:rPr>
        <w:t>22%</w:t>
        <w:tab/>
        <w:t>of</w:t>
        <w:tab/>
        <w:t>the</w:t>
        <w:tab/>
        <w:t>net</w:t>
        <w:tab/>
        <w:t>sales</w:t>
        <w:tab/>
        <w:t>for</w:t>
        <w:tab/>
        <w:t>the</w:t>
        <w:tab/>
        <w:t>year</w:t>
        <w:tab/>
        <w:t>ended</w:t>
        <w:tab/>
        <w:t>September</w:t>
        <w:tab/>
        <w:t>30,</w:t>
      </w:r>
      <w:r>
        <w:rPr>
          <w:sz w:val="20"/>
          <w:szCs w:val="20"/>
          <w:color w:val="auto"/>
        </w:rPr>
        <w:tab/>
      </w:r>
      <w:r>
        <w:rPr>
          <w:rFonts w:ascii="Courier New" w:cs="Courier New" w:eastAsia="Courier New" w:hAnsi="Courier New"/>
          <w:sz w:val="16"/>
          <w:szCs w:val="16"/>
          <w:color w:val="auto"/>
        </w:rPr>
        <w:t>1998.</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NOTE</w:t>
        <w:tab/>
        <w:t>10.</w:t>
      </w:r>
      <w:r>
        <w:rPr>
          <w:sz w:val="20"/>
          <w:szCs w:val="20"/>
          <w:color w:val="auto"/>
        </w:rPr>
        <w:tab/>
      </w:r>
      <w:r>
        <w:rPr>
          <w:rFonts w:ascii="Courier New" w:cs="Courier New" w:eastAsia="Courier New" w:hAnsi="Courier New"/>
          <w:sz w:val="16"/>
          <w:szCs w:val="16"/>
          <w:color w:val="auto"/>
        </w:rPr>
        <w:t>RESTATEMENT</w:t>
      </w:r>
    </w:p>
    <w:p>
      <w:pPr>
        <w:spacing w:after="0" w:line="206" w:lineRule="exact"/>
        <w:rPr>
          <w:sz w:val="20"/>
          <w:szCs w:val="20"/>
          <w:color w:val="auto"/>
        </w:rPr>
      </w:pPr>
    </w:p>
    <w:p>
      <w:pPr>
        <w:jc w:val="both"/>
        <w:ind w:right="1719"/>
        <w:spacing w:after="0" w:line="236" w:lineRule="auto"/>
        <w:rPr>
          <w:sz w:val="20"/>
          <w:szCs w:val="20"/>
          <w:color w:val="auto"/>
        </w:rPr>
      </w:pPr>
      <w:r>
        <w:rPr>
          <w:rFonts w:ascii="Courier New" w:cs="Courier New" w:eastAsia="Courier New" w:hAnsi="Courier New"/>
          <w:sz w:val="18"/>
          <w:szCs w:val="18"/>
          <w:color w:val="auto"/>
        </w:rPr>
        <w:t>The Company's financial statements for the year ended September 30, 1998 were previously unaudited. The accompanying audited amounts differ from previously reported amounts as follows:</w:t>
      </w:r>
    </w:p>
    <w:p>
      <w:pPr>
        <w:sectPr>
          <w:pgSz w:w="11900" w:h="16838" w:orient="portrait"/>
          <w:cols w:equalWidth="0" w:num="1">
            <w:col w:w="10139"/>
          </w:cols>
          <w:pgMar w:left="32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per common share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460"/>
        <w:spacing w:after="0"/>
        <w:rPr>
          <w:sz w:val="20"/>
          <w:szCs w:val="20"/>
          <w:color w:val="auto"/>
        </w:rPr>
      </w:pPr>
      <w:r>
        <w:rPr>
          <w:rFonts w:ascii="Courier New" w:cs="Courier New" w:eastAsia="Courier New" w:hAnsi="Courier New"/>
          <w:sz w:val="18"/>
          <w:szCs w:val="18"/>
          <w:color w:val="auto"/>
        </w:rPr>
        <w:t>As Reported</w:t>
      </w:r>
    </w:p>
    <w:p>
      <w:pPr>
        <w:ind w:left="1780"/>
        <w:spacing w:after="0" w:line="237" w:lineRule="auto"/>
        <w:rPr>
          <w:sz w:val="20"/>
          <w:szCs w:val="20"/>
          <w:color w:val="auto"/>
        </w:rPr>
      </w:pPr>
      <w:r>
        <w:rPr>
          <w:rFonts w:ascii="Courier New" w:cs="Courier New" w:eastAsia="Courier New" w:hAnsi="Courier New"/>
          <w:sz w:val="18"/>
          <w:szCs w:val="18"/>
          <w:color w:val="auto"/>
        </w:rPr>
        <w:t>In the</w:t>
      </w:r>
    </w:p>
    <w:p>
      <w:pPr>
        <w:spacing w:after="0" w:line="5" w:lineRule="exact"/>
        <w:rPr>
          <w:sz w:val="20"/>
          <w:szCs w:val="20"/>
          <w:color w:val="auto"/>
        </w:rPr>
      </w:pPr>
    </w:p>
    <w:p>
      <w:pPr>
        <w:ind w:left="520"/>
        <w:spacing w:after="0"/>
        <w:tabs>
          <w:tab w:leader="none" w:pos="1440" w:val="left"/>
        </w:tabs>
        <w:rPr>
          <w:sz w:val="20"/>
          <w:szCs w:val="20"/>
          <w:color w:val="auto"/>
        </w:rPr>
      </w:pPr>
      <w:r>
        <w:rPr>
          <w:rFonts w:ascii="Courier New" w:cs="Courier New" w:eastAsia="Courier New" w:hAnsi="Courier New"/>
          <w:sz w:val="16"/>
          <w:szCs w:val="16"/>
          <w:color w:val="auto"/>
        </w:rPr>
        <w:t>As</w:t>
      </w:r>
      <w:r>
        <w:rPr>
          <w:sz w:val="20"/>
          <w:szCs w:val="20"/>
          <w:color w:val="auto"/>
        </w:rPr>
        <w:tab/>
      </w:r>
      <w:r>
        <w:rPr>
          <w:rFonts w:ascii="Courier New" w:cs="Courier New" w:eastAsia="Courier New" w:hAnsi="Courier New"/>
          <w:sz w:val="16"/>
          <w:szCs w:val="16"/>
          <w:color w:val="auto"/>
        </w:rPr>
        <w:t>Accompanying</w:t>
      </w:r>
    </w:p>
    <w:p>
      <w:pPr>
        <w:spacing w:after="0" w:line="15" w:lineRule="exact"/>
        <w:rPr>
          <w:sz w:val="20"/>
          <w:szCs w:val="20"/>
          <w:color w:val="auto"/>
        </w:rPr>
      </w:pPr>
    </w:p>
    <w:p>
      <w:pPr>
        <w:ind w:left="100"/>
        <w:spacing w:after="0"/>
        <w:tabs>
          <w:tab w:leader="none" w:pos="1540" w:val="left"/>
        </w:tabs>
        <w:rPr>
          <w:sz w:val="20"/>
          <w:szCs w:val="20"/>
          <w:color w:val="auto"/>
        </w:rPr>
      </w:pPr>
      <w:r>
        <w:rPr>
          <w:rFonts w:ascii="Courier New" w:cs="Courier New" w:eastAsia="Courier New" w:hAnsi="Courier New"/>
          <w:sz w:val="18"/>
          <w:szCs w:val="18"/>
          <w:color w:val="auto"/>
        </w:rPr>
        <w:t>Originally</w:t>
      </w:r>
      <w:r>
        <w:rPr>
          <w:sz w:val="20"/>
          <w:szCs w:val="20"/>
          <w:color w:val="auto"/>
        </w:rPr>
        <w:tab/>
      </w:r>
      <w:r>
        <w:rPr>
          <w:rFonts w:ascii="Courier New" w:cs="Courier New" w:eastAsia="Courier New" w:hAnsi="Courier New"/>
          <w:sz w:val="18"/>
          <w:szCs w:val="18"/>
          <w:color w:val="auto"/>
        </w:rPr>
        <w:t>Financial</w:t>
      </w:r>
    </w:p>
    <w:p>
      <w:pPr>
        <w:ind w:left="200"/>
        <w:spacing w:after="0" w:line="237" w:lineRule="auto"/>
        <w:tabs>
          <w:tab w:leader="none" w:pos="1540" w:val="left"/>
        </w:tabs>
        <w:rPr>
          <w:sz w:val="20"/>
          <w:szCs w:val="20"/>
          <w:color w:val="auto"/>
        </w:rPr>
      </w:pPr>
      <w:r>
        <w:rPr>
          <w:rFonts w:ascii="Courier New" w:cs="Courier New" w:eastAsia="Courier New" w:hAnsi="Courier New"/>
          <w:sz w:val="18"/>
          <w:szCs w:val="18"/>
          <w:color w:val="auto"/>
        </w:rPr>
        <w:t>Reported</w:t>
      </w:r>
      <w:r>
        <w:rPr>
          <w:sz w:val="20"/>
          <w:szCs w:val="20"/>
          <w:color w:val="auto"/>
        </w:rPr>
        <w:tab/>
      </w:r>
      <w:r>
        <w:rPr>
          <w:rFonts w:ascii="Courier New" w:cs="Courier New" w:eastAsia="Courier New" w:hAnsi="Courier New"/>
          <w:sz w:val="18"/>
          <w:szCs w:val="18"/>
          <w:color w:val="auto"/>
        </w:rPr>
        <w:t>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spacing w:after="0"/>
        <w:tabs>
          <w:tab w:leader="none" w:pos="280" w:val="left"/>
          <w:tab w:leader="none" w:pos="1440" w:val="left"/>
          <w:tab w:leader="none" w:pos="1760" w:val="left"/>
        </w:tabs>
        <w:rPr>
          <w:sz w:val="20"/>
          <w:szCs w:val="20"/>
          <w:color w:val="auto"/>
        </w:rPr>
      </w:pPr>
      <w:r>
        <w:rPr>
          <w:rFonts w:ascii="Courier New" w:cs="Courier New" w:eastAsia="Courier New" w:hAnsi="Courier New"/>
          <w:sz w:val="18"/>
          <w:szCs w:val="18"/>
          <w:color w:val="auto"/>
        </w:rPr>
        <w:t>$</w:t>
        <w:tab/>
        <w:t>(51,620)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(165,025)</w:t>
      </w:r>
    </w:p>
    <w:p>
      <w:pPr>
        <w:ind w:left="520"/>
        <w:spacing w:after="0"/>
        <w:tabs>
          <w:tab w:leader="none" w:pos="2080" w:val="left"/>
        </w:tabs>
        <w:rPr>
          <w:sz w:val="20"/>
          <w:szCs w:val="20"/>
          <w:color w:val="auto"/>
        </w:rPr>
      </w:pPr>
      <w:r>
        <w:rPr>
          <w:rFonts w:ascii="Courier New" w:cs="Courier New" w:eastAsia="Courier New" w:hAnsi="Courier New"/>
          <w:sz w:val="18"/>
          <w:szCs w:val="18"/>
          <w:color w:val="auto"/>
        </w:rPr>
        <w:t>(0.02)</w:t>
      </w:r>
      <w:r>
        <w:rPr>
          <w:sz w:val="20"/>
          <w:szCs w:val="20"/>
          <w:color w:val="auto"/>
        </w:rPr>
        <w:tab/>
      </w:r>
      <w:r>
        <w:rPr>
          <w:rFonts w:ascii="Courier New" w:cs="Courier New" w:eastAsia="Courier New" w:hAnsi="Courier New"/>
          <w:sz w:val="16"/>
          <w:szCs w:val="16"/>
          <w:color w:val="auto"/>
        </w:rPr>
        <w:t>(0.05)</w:t>
      </w:r>
    </w:p>
    <w:p>
      <w:pPr>
        <w:spacing w:after="0" w:line="200" w:lineRule="exact"/>
        <w:rPr>
          <w:sz w:val="20"/>
          <w:szCs w:val="20"/>
          <w:color w:val="auto"/>
        </w:rPr>
      </w:pPr>
    </w:p>
    <w:p>
      <w:pPr>
        <w:sectPr>
          <w:pgSz w:w="11900" w:h="16838" w:orient="portrait"/>
          <w:cols w:equalWidth="0" w:num="2">
            <w:col w:w="4340" w:space="720"/>
            <w:col w:w="5079"/>
          </w:cols>
          <w:pgMar w:left="320" w:top="513" w:right="1440" w:bottom="1440" w:gutter="0" w:footer="0" w:header="0"/>
          <w:type w:val="continuous"/>
        </w:sectPr>
      </w:pP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139"/>
          </w:cols>
          <w:pgMar w:left="320" w:top="513" w:right="1440" w:bottom="1440" w:gutter="0" w:footer="0" w:header="0"/>
          <w:type w:val="continuous"/>
        </w:sectPr>
      </w:pPr>
    </w:p>
    <w:bookmarkStart w:id="25" w:name="page26"/>
    <w:bookmarkEnd w:id="25"/>
    <w:p>
      <w:pPr>
        <w:spacing w:after="0"/>
        <w:tabs>
          <w:tab w:leader="none" w:pos="13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tabs>
          <w:tab w:leader="none" w:pos="720" w:val="left"/>
          <w:tab w:leader="none" w:pos="1140" w:val="left"/>
          <w:tab w:leader="none" w:pos="2300" w:val="left"/>
        </w:tabs>
        <w:rPr>
          <w:sz w:val="20"/>
          <w:szCs w:val="20"/>
          <w:color w:val="auto"/>
        </w:rPr>
      </w:pPr>
      <w:r>
        <w:rPr>
          <w:rFonts w:ascii="Courier New" w:cs="Courier New" w:eastAsia="Courier New" w:hAnsi="Courier New"/>
          <w:sz w:val="18"/>
          <w:szCs w:val="18"/>
          <w:color w:val="auto"/>
        </w:rPr>
        <w:t>Notes</w:t>
        <w:tab/>
        <w:t>to</w:t>
        <w:tab/>
        <w:t>Financial</w:t>
      </w:r>
      <w:r>
        <w:rPr>
          <w:sz w:val="20"/>
          <w:szCs w:val="20"/>
          <w:color w:val="auto"/>
        </w:rPr>
        <w:tab/>
      </w:r>
      <w:r>
        <w:rPr>
          <w:rFonts w:ascii="Courier New" w:cs="Courier New" w:eastAsia="Courier New" w:hAnsi="Courier New"/>
          <w:sz w:val="16"/>
          <w:szCs w:val="16"/>
          <w:color w:val="auto"/>
        </w:rPr>
        <w:t>Statements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1999</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1998</w:t>
            </w:r>
          </w:p>
        </w:tc>
        <w:tc>
          <w:tcPr>
            <w:tcW w:w="100" w:type="dxa"/>
            <w:vAlign w:val="bottom"/>
          </w:tcPr>
          <w:p>
            <w:pPr>
              <w:spacing w:after="0"/>
              <w:rPr>
                <w:sz w:val="17"/>
                <w:szCs w:val="17"/>
                <w:color w:val="auto"/>
              </w:rPr>
            </w:pPr>
          </w:p>
        </w:tc>
      </w:tr>
      <w:tr>
        <w:trPr>
          <w:trHeight w:val="202"/>
        </w:trPr>
        <w:tc>
          <w:tcPr>
            <w:tcW w:w="2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w:t>
            </w:r>
          </w:p>
        </w:tc>
        <w:tc>
          <w:tcPr>
            <w:tcW w:w="6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652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Schedule of Noncash Investing and</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3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Financing Activities</w:t>
            </w:r>
          </w:p>
        </w:tc>
        <w:tc>
          <w:tcPr>
            <w:tcW w:w="4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3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Issuance of common</w:t>
            </w:r>
          </w:p>
        </w:tc>
        <w:tc>
          <w:tcPr>
            <w:tcW w:w="41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9"/>
              </w:rPr>
              <w:t>stock for satisfaction of liabilities: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38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w w:val="99"/>
              </w:rPr>
              <w:t>Accounts payable</w:t>
            </w:r>
          </w:p>
        </w:tc>
        <w:tc>
          <w:tcPr>
            <w:tcW w:w="41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 related parties</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$303,450</w:t>
            </w:r>
          </w:p>
        </w:tc>
        <w:tc>
          <w:tcPr>
            <w:tcW w:w="52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2"/>
        </w:trPr>
        <w:tc>
          <w:tcPr>
            <w:tcW w:w="238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w w:val="99"/>
              </w:rPr>
              <w:t>Accounts payable</w:t>
            </w:r>
          </w:p>
        </w:tc>
        <w:tc>
          <w:tcPr>
            <w:tcW w:w="414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882,435</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2"/>
        </w:trPr>
        <w:tc>
          <w:tcPr>
            <w:tcW w:w="6520" w:type="dxa"/>
            <w:vAlign w:val="bottom"/>
            <w:gridSpan w:val="2"/>
          </w:tcPr>
          <w:p>
            <w:pPr>
              <w:ind w:left="640"/>
              <w:spacing w:after="0" w:line="202" w:lineRule="exact"/>
              <w:rPr>
                <w:sz w:val="20"/>
                <w:szCs w:val="20"/>
                <w:color w:val="auto"/>
              </w:rPr>
            </w:pPr>
            <w:r>
              <w:rPr>
                <w:rFonts w:ascii="Courier New" w:cs="Courier New" w:eastAsia="Courier New" w:hAnsi="Courier New"/>
                <w:sz w:val="18"/>
                <w:szCs w:val="18"/>
                <w:color w:val="auto"/>
                <w:w w:val="98"/>
              </w:rPr>
              <w:t>Accrued expenses, other than interest - related parties</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32,516</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2"/>
        </w:trPr>
        <w:tc>
          <w:tcPr>
            <w:tcW w:w="6520" w:type="dxa"/>
            <w:vAlign w:val="bottom"/>
            <w:gridSpan w:val="2"/>
          </w:tcPr>
          <w:p>
            <w:pPr>
              <w:ind w:left="640"/>
              <w:spacing w:after="0" w:line="202" w:lineRule="exact"/>
              <w:rPr>
                <w:sz w:val="20"/>
                <w:szCs w:val="20"/>
                <w:color w:val="auto"/>
              </w:rPr>
            </w:pPr>
            <w:r>
              <w:rPr>
                <w:rFonts w:ascii="Courier New" w:cs="Courier New" w:eastAsia="Courier New" w:hAnsi="Courier New"/>
                <w:sz w:val="18"/>
                <w:szCs w:val="18"/>
                <w:color w:val="auto"/>
              </w:rPr>
              <w:t>Notes payable and long-term debt - related parties</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41,000</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2"/>
        </w:trPr>
        <w:tc>
          <w:tcPr>
            <w:tcW w:w="6520" w:type="dxa"/>
            <w:vAlign w:val="bottom"/>
            <w:gridSpan w:val="2"/>
          </w:tcPr>
          <w:p>
            <w:pPr>
              <w:ind w:left="640"/>
              <w:spacing w:after="0" w:line="202" w:lineRule="exact"/>
              <w:rPr>
                <w:sz w:val="20"/>
                <w:szCs w:val="20"/>
                <w:color w:val="auto"/>
              </w:rPr>
            </w:pPr>
            <w:r>
              <w:rPr>
                <w:rFonts w:ascii="Courier New" w:cs="Courier New" w:eastAsia="Courier New" w:hAnsi="Courier New"/>
                <w:sz w:val="18"/>
                <w:szCs w:val="18"/>
                <w:color w:val="auto"/>
              </w:rPr>
              <w:t>Notes payable and long-term debt</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245,435</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2"/>
        </w:trPr>
        <w:tc>
          <w:tcPr>
            <w:tcW w:w="238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w w:val="99"/>
              </w:rPr>
              <w:t>Accrued interest</w:t>
            </w:r>
          </w:p>
        </w:tc>
        <w:tc>
          <w:tcPr>
            <w:tcW w:w="41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on notes payable and long-term debt</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64,920</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404"/>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Issuance of Series B</w:t>
            </w:r>
          </w:p>
        </w:tc>
        <w:tc>
          <w:tcPr>
            <w:tcW w:w="4140" w:type="dxa"/>
            <w:vAlign w:val="bottom"/>
          </w:tcPr>
          <w:p>
            <w:pPr>
              <w:ind w:left="40"/>
              <w:spacing w:after="0"/>
              <w:rPr>
                <w:sz w:val="20"/>
                <w:szCs w:val="20"/>
                <w:color w:val="auto"/>
              </w:rPr>
            </w:pPr>
            <w:r>
              <w:rPr>
                <w:rFonts w:ascii="Courier New" w:cs="Courier New" w:eastAsia="Courier New" w:hAnsi="Courier New"/>
                <w:sz w:val="18"/>
                <w:szCs w:val="18"/>
                <w:color w:val="auto"/>
              </w:rPr>
              <w:t>preferred stock for satisfaction</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520" w:type="dxa"/>
            <w:vAlign w:val="bottom"/>
            <w:gridSpan w:val="2"/>
          </w:tcPr>
          <w:p>
            <w:pPr>
              <w:ind w:left="420"/>
              <w:spacing w:after="0" w:line="202" w:lineRule="exact"/>
              <w:rPr>
                <w:sz w:val="20"/>
                <w:szCs w:val="20"/>
                <w:color w:val="auto"/>
              </w:rPr>
            </w:pPr>
            <w:r>
              <w:rPr>
                <w:rFonts w:ascii="Courier New" w:cs="Courier New" w:eastAsia="Courier New" w:hAnsi="Courier New"/>
                <w:sz w:val="18"/>
                <w:szCs w:val="18"/>
                <w:color w:val="auto"/>
              </w:rPr>
              <w:t>of Company liabilities: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520" w:type="dxa"/>
            <w:vAlign w:val="bottom"/>
            <w:gridSpan w:val="2"/>
          </w:tcPr>
          <w:p>
            <w:pPr>
              <w:ind w:left="640"/>
              <w:spacing w:after="0" w:line="202" w:lineRule="exact"/>
              <w:rPr>
                <w:sz w:val="20"/>
                <w:szCs w:val="20"/>
                <w:color w:val="auto"/>
              </w:rPr>
            </w:pPr>
            <w:r>
              <w:rPr>
                <w:rFonts w:ascii="Courier New" w:cs="Courier New" w:eastAsia="Courier New" w:hAnsi="Courier New"/>
                <w:sz w:val="18"/>
                <w:szCs w:val="18"/>
                <w:color w:val="auto"/>
              </w:rPr>
              <w:t>Notes payable and long-term debt - related parties</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252,824</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2"/>
        </w:trPr>
        <w:tc>
          <w:tcPr>
            <w:tcW w:w="238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w w:val="99"/>
              </w:rPr>
              <w:t>Accrued interest</w:t>
            </w:r>
          </w:p>
        </w:tc>
        <w:tc>
          <w:tcPr>
            <w:tcW w:w="41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on notes payable and long-term</w:t>
            </w:r>
          </w:p>
        </w:tc>
        <w:tc>
          <w:tcPr>
            <w:tcW w:w="106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75,940</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2"/>
        </w:trPr>
        <w:tc>
          <w:tcPr>
            <w:tcW w:w="6520" w:type="dxa"/>
            <w:vAlign w:val="bottom"/>
            <w:gridSpan w:val="2"/>
          </w:tcPr>
          <w:p>
            <w:pPr>
              <w:ind w:left="740"/>
              <w:spacing w:after="0" w:line="202" w:lineRule="exact"/>
              <w:rPr>
                <w:sz w:val="20"/>
                <w:szCs w:val="20"/>
                <w:color w:val="auto"/>
              </w:rPr>
            </w:pPr>
            <w:r>
              <w:rPr>
                <w:rFonts w:ascii="Courier New" w:cs="Courier New" w:eastAsia="Courier New" w:hAnsi="Courier New"/>
                <w:sz w:val="18"/>
                <w:szCs w:val="18"/>
                <w:color w:val="auto"/>
              </w:rPr>
              <w:t>debt - related parties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08"/>
        </w:trPr>
        <w:tc>
          <w:tcPr>
            <w:tcW w:w="2380" w:type="dxa"/>
            <w:vAlign w:val="bottom"/>
          </w:tcPr>
          <w:p>
            <w:pPr>
              <w:spacing w:after="0"/>
              <w:rPr>
                <w:sz w:val="24"/>
                <w:szCs w:val="24"/>
                <w:color w:val="auto"/>
              </w:rPr>
            </w:pPr>
          </w:p>
        </w:tc>
        <w:tc>
          <w:tcPr>
            <w:tcW w:w="4140" w:type="dxa"/>
            <w:vAlign w:val="bottom"/>
          </w:tcPr>
          <w:p>
            <w:pPr>
              <w:ind w:left="1620"/>
              <w:spacing w:after="0"/>
              <w:rPr>
                <w:sz w:val="20"/>
                <w:szCs w:val="20"/>
                <w:color w:val="auto"/>
              </w:rPr>
            </w:pPr>
            <w:r>
              <w:rPr>
                <w:rFonts w:ascii="Courier New" w:cs="Courier New" w:eastAsia="Courier New" w:hAnsi="Courier New"/>
                <w:sz w:val="18"/>
                <w:szCs w:val="18"/>
                <w:color w:val="auto"/>
              </w:rPr>
              <w:t>F-13</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513" w:right="1440"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line="62"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8"/>
          <w:szCs w:val="18"/>
          <w:color w:val="auto"/>
        </w:rPr>
        <w:t>Exhibit 10.09</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TERM SHEET</w:t>
      </w:r>
    </w:p>
    <w:p>
      <w:pPr>
        <w:spacing w:after="0" w:line="206" w:lineRule="exact"/>
        <w:rPr>
          <w:sz w:val="20"/>
          <w:szCs w:val="20"/>
          <w:color w:val="auto"/>
        </w:rPr>
      </w:pPr>
    </w:p>
    <w:p>
      <w:pPr>
        <w:ind w:right="1719" w:firstLine="525"/>
        <w:spacing w:after="0" w:line="236" w:lineRule="auto"/>
        <w:rPr>
          <w:sz w:val="20"/>
          <w:szCs w:val="20"/>
          <w:color w:val="auto"/>
        </w:rPr>
      </w:pPr>
      <w:r>
        <w:rPr>
          <w:rFonts w:ascii="Courier New" w:cs="Courier New" w:eastAsia="Courier New" w:hAnsi="Courier New"/>
          <w:sz w:val="18"/>
          <w:szCs w:val="18"/>
          <w:color w:val="auto"/>
        </w:rPr>
        <w:t>Set forth below are the principle terms and conditions upon which TPR Group, Inc., a Delaware corporation ("TPRG"), proposes to provide capital and other resources to InterActive, Inc., a South Dakota corporation (the "Company"), in connection with the contemplated reorganization of the Company through a voluntary compromise with creditors course of action (the "Reorganization"):</w:t>
      </w:r>
    </w:p>
    <w:p>
      <w:pPr>
        <w:spacing w:after="0" w:line="211" w:lineRule="exact"/>
        <w:rPr>
          <w:sz w:val="20"/>
          <w:szCs w:val="20"/>
          <w:color w:val="auto"/>
        </w:rPr>
      </w:pPr>
    </w:p>
    <w:p>
      <w:pPr>
        <w:jc w:val="both"/>
        <w:ind w:right="1719" w:firstLine="533"/>
        <w:spacing w:after="0" w:line="267" w:lineRule="auto"/>
        <w:tabs>
          <w:tab w:leader="none" w:pos="126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fulfillment of each of the conditions set forth below to the satisfaction of TPRG, in its sole discretion, TPRG, perhaps with several other individuals and entities, would purchase an aggregate of 2,000,000 shares of a new series of the Company's preferred stock (the "Series B Preferred</w:t>
      </w:r>
    </w:p>
    <w:p>
      <w:pPr>
        <w:spacing w:after="0"/>
        <w:tabs>
          <w:tab w:leader="none" w:pos="940" w:val="left"/>
          <w:tab w:leader="none" w:pos="1360" w:val="left"/>
          <w:tab w:leader="none" w:pos="1880" w:val="left"/>
          <w:tab w:leader="none" w:pos="2620" w:val="left"/>
          <w:tab w:leader="none" w:pos="3140" w:val="left"/>
          <w:tab w:leader="none" w:pos="3660" w:val="left"/>
          <w:tab w:leader="none" w:pos="4180" w:val="left"/>
          <w:tab w:leader="none" w:pos="5760" w:val="left"/>
          <w:tab w:leader="none" w:pos="6300" w:val="left"/>
          <w:tab w:leader="none" w:pos="7020" w:val="left"/>
        </w:tabs>
        <w:rPr>
          <w:sz w:val="20"/>
          <w:szCs w:val="20"/>
          <w:color w:val="auto"/>
        </w:rPr>
      </w:pPr>
      <w:r>
        <w:rPr>
          <w:rFonts w:ascii="Courier New" w:cs="Courier New" w:eastAsia="Courier New" w:hAnsi="Courier New"/>
          <w:sz w:val="18"/>
          <w:szCs w:val="18"/>
          <w:color w:val="auto"/>
        </w:rPr>
        <w:t>Stock")</w:t>
        <w:tab/>
        <w:t>on</w:t>
        <w:tab/>
        <w:t>the</w:t>
        <w:tab/>
        <w:t>terms</w:t>
        <w:tab/>
        <w:t>and</w:t>
        <w:tab/>
        <w:t>for</w:t>
        <w:tab/>
        <w:t>the</w:t>
        <w:tab/>
        <w:t>consideration</w:t>
        <w:tab/>
        <w:t>set</w:t>
        <w:tab/>
        <w:t>forth</w:t>
      </w:r>
      <w:r>
        <w:rPr>
          <w:sz w:val="20"/>
          <w:szCs w:val="20"/>
          <w:color w:val="auto"/>
        </w:rPr>
        <w:tab/>
      </w:r>
      <w:r>
        <w:rPr>
          <w:rFonts w:ascii="Courier New" w:cs="Courier New" w:eastAsia="Courier New" w:hAnsi="Courier New"/>
          <w:sz w:val="16"/>
          <w:szCs w:val="16"/>
          <w:color w:val="auto"/>
        </w:rPr>
        <w:t>below:</w:t>
      </w:r>
    </w:p>
    <w:p>
      <w:pPr>
        <w:spacing w:after="0" w:line="207" w:lineRule="exact"/>
        <w:rPr>
          <w:sz w:val="20"/>
          <w:szCs w:val="20"/>
          <w:color w:val="auto"/>
        </w:rPr>
      </w:pPr>
    </w:p>
    <w:p>
      <w:pPr>
        <w:ind w:left="1900" w:hanging="842"/>
        <w:spacing w:after="0"/>
        <w:tabs>
          <w:tab w:leader="none" w:pos="19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TPRG  would  pay,  in  cash,  in the name and on behalf of the</w:t>
      </w:r>
    </w:p>
    <w:p>
      <w:pPr>
        <w:spacing w:after="0" w:line="15" w:lineRule="exact"/>
        <w:rPr>
          <w:sz w:val="20"/>
          <w:szCs w:val="20"/>
          <w:color w:val="auto"/>
        </w:rPr>
      </w:pPr>
    </w:p>
    <w:p>
      <w:pPr>
        <w:spacing w:after="0"/>
        <w:tabs>
          <w:tab w:leader="none" w:pos="1040" w:val="left"/>
          <w:tab w:leader="none" w:pos="1460" w:val="left"/>
          <w:tab w:leader="none" w:pos="1880" w:val="left"/>
          <w:tab w:leader="none" w:pos="2920" w:val="left"/>
          <w:tab w:leader="none" w:pos="3460" w:val="left"/>
          <w:tab w:leader="none" w:pos="3980" w:val="left"/>
          <w:tab w:leader="none" w:pos="5140" w:val="left"/>
        </w:tabs>
        <w:rPr>
          <w:sz w:val="20"/>
          <w:szCs w:val="20"/>
          <w:color w:val="auto"/>
        </w:rPr>
      </w:pPr>
      <w:r>
        <w:rPr>
          <w:rFonts w:ascii="Courier New" w:cs="Courier New" w:eastAsia="Courier New" w:hAnsi="Courier New"/>
          <w:sz w:val="18"/>
          <w:szCs w:val="18"/>
          <w:color w:val="auto"/>
        </w:rPr>
        <w:t>Company,</w:t>
        <w:tab/>
        <w:t>up</w:t>
        <w:tab/>
        <w:t>to</w:t>
        <w:tab/>
        <w:t>$50,000,</w:t>
        <w:tab/>
        <w:t>for</w:t>
        <w:tab/>
        <w:t>the</w:t>
        <w:tab/>
        <w:t>following</w:t>
      </w:r>
      <w:r>
        <w:rPr>
          <w:sz w:val="20"/>
          <w:szCs w:val="20"/>
          <w:color w:val="auto"/>
        </w:rPr>
        <w:tab/>
      </w:r>
      <w:r>
        <w:rPr>
          <w:rFonts w:ascii="Courier New" w:cs="Courier New" w:eastAsia="Courier New" w:hAnsi="Courier New"/>
          <w:sz w:val="16"/>
          <w:szCs w:val="16"/>
          <w:color w:val="auto"/>
        </w:rPr>
        <w:t>purposes:</w:t>
      </w:r>
    </w:p>
    <w:p>
      <w:pPr>
        <w:spacing w:after="0" w:line="206" w:lineRule="exact"/>
        <w:rPr>
          <w:sz w:val="20"/>
          <w:szCs w:val="20"/>
          <w:color w:val="auto"/>
        </w:rPr>
      </w:pPr>
    </w:p>
    <w:p>
      <w:pPr>
        <w:ind w:right="1719" w:firstLine="1584"/>
        <w:spacing w:after="0" w:line="235" w:lineRule="auto"/>
        <w:tabs>
          <w:tab w:leader="none" w:pos="2416"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legal and accounting fees and expenses incurred and to be incurred in connection with the proposed Reorganization;</w:t>
      </w:r>
    </w:p>
    <w:p>
      <w:pPr>
        <w:spacing w:after="0" w:line="206" w:lineRule="exact"/>
        <w:rPr>
          <w:rFonts w:ascii="Courier New" w:cs="Courier New" w:eastAsia="Courier New" w:hAnsi="Courier New"/>
          <w:sz w:val="18"/>
          <w:szCs w:val="18"/>
          <w:color w:val="auto"/>
        </w:rPr>
      </w:pPr>
    </w:p>
    <w:p>
      <w:pPr>
        <w:ind w:right="1719" w:firstLine="1584"/>
        <w:spacing w:after="0" w:line="236" w:lineRule="auto"/>
        <w:tabs>
          <w:tab w:leader="none" w:pos="2521"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up to $15,000, over the 3-month period ending February 23, 1999 (the "Reorganization Period"), to Robert Stahl, in consideration of his continuing services as the President of the Company and implementing the proposed Reorganization, all as more particularly outlined in a separate letter agreement with Mr. Stahl; and</w:t>
      </w:r>
    </w:p>
    <w:p>
      <w:pPr>
        <w:spacing w:after="0" w:line="209" w:lineRule="exact"/>
        <w:rPr>
          <w:rFonts w:ascii="Courier New" w:cs="Courier New" w:eastAsia="Courier New" w:hAnsi="Courier New"/>
          <w:sz w:val="18"/>
          <w:szCs w:val="18"/>
          <w:color w:val="auto"/>
        </w:rPr>
      </w:pPr>
    </w:p>
    <w:p>
      <w:pPr>
        <w:jc w:val="both"/>
        <w:ind w:right="1719" w:firstLine="1584"/>
        <w:spacing w:after="0" w:line="236" w:lineRule="auto"/>
        <w:tabs>
          <w:tab w:leader="none" w:pos="2626"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reasonable continuing costs incurred by the Company during the Reorganization Period (i.e., staff, rent, utilities, postage, etc.) to the extent sales of SoundXchanges by the Company do not generate the necessary funds.</w:t>
      </w:r>
    </w:p>
    <w:p>
      <w:pPr>
        <w:spacing w:after="0" w:line="208" w:lineRule="exact"/>
        <w:rPr>
          <w:rFonts w:ascii="Courier New" w:cs="Courier New" w:eastAsia="Courier New" w:hAnsi="Courier New"/>
          <w:sz w:val="18"/>
          <w:szCs w:val="18"/>
          <w:color w:val="auto"/>
        </w:rPr>
      </w:pPr>
    </w:p>
    <w:p>
      <w:pPr>
        <w:jc w:val="both"/>
        <w:ind w:right="1719" w:firstLine="1058"/>
        <w:spacing w:after="0" w:line="237" w:lineRule="auto"/>
        <w:tabs>
          <w:tab w:leader="none" w:pos="189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B Preferred Stock would have an initial liquidation preference of $.15 per share, would be convertible at the option of the holder at the rate of 10 shares of the Company's Common Stock for each share of Series B Preferred Stock, would be entitled to elect 3 of 5 directors of the Company and to vote along with the holders of the Company's Common Stock on all other matters, with the right to cast that number of votes per share of Series B Preferred Stock as is equal to the number of shares of Common Stock into which each share of Series B Preferred Stock is then convertible, and would contain standard conversion price adjustment provisions to reflect stock splits, stock dividends and the like.</w:t>
      </w:r>
    </w:p>
    <w:p>
      <w:pPr>
        <w:spacing w:after="0" w:line="208" w:lineRule="exact"/>
        <w:rPr>
          <w:rFonts w:ascii="Courier New" w:cs="Courier New" w:eastAsia="Courier New" w:hAnsi="Courier New"/>
          <w:sz w:val="18"/>
          <w:szCs w:val="18"/>
          <w:color w:val="auto"/>
        </w:rPr>
      </w:pPr>
    </w:p>
    <w:p>
      <w:pPr>
        <w:ind w:right="1719" w:firstLine="533"/>
        <w:spacing w:after="0" w:line="236" w:lineRule="auto"/>
        <w:tabs>
          <w:tab w:leader="none" w:pos="126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purchasing the Series B Preferred Stock, TPRG would use its best efforts during the Reorganization Period to assist the officers and directors of the Company, in such manner as TPRG determines to be necessary or desirable and appropriate, in its sole discretion, in implementing and consummating the proposed Reorganization.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1260" w:right="1719" w:hanging="727"/>
        <w:spacing w:after="0" w:line="237" w:lineRule="auto"/>
        <w:tabs>
          <w:tab w:leader="none" w:pos="12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that the proposed Reorganization can successfully be consummated, TPRG would use its best efforts to assist the officers and directors of the Company, in such manner as TPRG determines to be necessary or desirable and appropriate, in its sole discretion, in (a) developing a technical consulting service business, and (b) developing and/or acquiring such other business or businesses as the officers and directors of the Company, in consultation with TPRG, deem desirable and appropriate. In addition, TPRG would contribute to the capital of the Company the</w:t>
      </w:r>
    </w:p>
    <w:p>
      <w:pPr>
        <w:spacing w:after="0" w:line="6" w:lineRule="exact"/>
        <w:rPr>
          <w:sz w:val="20"/>
          <w:szCs w:val="20"/>
          <w:color w:val="auto"/>
        </w:rPr>
      </w:pPr>
    </w:p>
    <w:p>
      <w:pPr>
        <w:jc w:val="both"/>
        <w:ind w:left="1260" w:right="1719"/>
        <w:spacing w:after="0" w:line="236" w:lineRule="auto"/>
        <w:rPr>
          <w:sz w:val="20"/>
          <w:szCs w:val="20"/>
          <w:color w:val="auto"/>
        </w:rPr>
      </w:pPr>
      <w:r>
        <w:rPr>
          <w:rFonts w:ascii="Courier New" w:cs="Courier New" w:eastAsia="Courier New" w:hAnsi="Courier New"/>
          <w:sz w:val="18"/>
          <w:szCs w:val="18"/>
          <w:color w:val="auto"/>
        </w:rPr>
        <w:t>indebtedness in the principal amount of $289,440 currently owed by the Company to TPRG which is secured by a first lien against all of the Company's assets.</w:t>
      </w:r>
    </w:p>
    <w:p>
      <w:pPr>
        <w:spacing w:after="0" w:line="207" w:lineRule="exact"/>
        <w:rPr>
          <w:sz w:val="20"/>
          <w:szCs w:val="20"/>
          <w:color w:val="auto"/>
        </w:rPr>
      </w:pPr>
    </w:p>
    <w:p>
      <w:pPr>
        <w:ind w:right="1719" w:firstLine="533"/>
        <w:spacing w:after="0" w:line="235" w:lineRule="auto"/>
        <w:tabs>
          <w:tab w:leader="none" w:pos="126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contemplated that the Reorganization would consist of the following primary components:</w:t>
      </w:r>
    </w:p>
    <w:p>
      <w:pPr>
        <w:spacing w:after="0" w:line="200" w:lineRule="exact"/>
        <w:rPr>
          <w:rFonts w:ascii="Courier New" w:cs="Courier New" w:eastAsia="Courier New" w:hAnsi="Courier New"/>
          <w:sz w:val="18"/>
          <w:szCs w:val="18"/>
          <w:color w:val="auto"/>
        </w:rPr>
      </w:pPr>
    </w:p>
    <w:p>
      <w:pPr>
        <w:ind w:left="1900" w:hanging="842"/>
        <w:spacing w:after="0"/>
        <w:tabs>
          <w:tab w:leader="none" w:pos="19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to  Creditors.</w:t>
      </w:r>
    </w:p>
    <w:p>
      <w:pPr>
        <w:ind w:left="190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jc w:val="both"/>
        <w:ind w:right="1719" w:firstLine="1584"/>
        <w:spacing w:after="0" w:line="267" w:lineRule="auto"/>
        <w:tabs>
          <w:tab w:leader="none" w:pos="2416"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would offer each of the creditors of the Company identified on the listing attached hereto as Exhibit B the right to receive one (1) share of the Company's Common Stock for each $1.00 owed to such</w:t>
      </w:r>
    </w:p>
    <w:p>
      <w:pPr>
        <w:spacing w:after="0"/>
        <w:tabs>
          <w:tab w:leader="none" w:pos="1040" w:val="left"/>
          <w:tab w:leader="none" w:pos="1460" w:val="left"/>
          <w:tab w:leader="none" w:pos="2620" w:val="left"/>
          <w:tab w:leader="none" w:pos="3040" w:val="left"/>
          <w:tab w:leader="none" w:pos="3980" w:val="left"/>
          <w:tab w:leader="none" w:pos="4400" w:val="left"/>
          <w:tab w:leader="none" w:pos="4820" w:val="left"/>
          <w:tab w:leader="none" w:pos="5240" w:val="left"/>
          <w:tab w:leader="none" w:pos="6400" w:val="left"/>
          <w:tab w:leader="none" w:pos="6820" w:val="left"/>
          <w:tab w:leader="none" w:pos="7340" w:val="left"/>
        </w:tabs>
        <w:rPr>
          <w:sz w:val="20"/>
          <w:szCs w:val="20"/>
          <w:color w:val="auto"/>
        </w:rPr>
      </w:pPr>
      <w:r>
        <w:rPr>
          <w:rFonts w:ascii="Courier New" w:cs="Courier New" w:eastAsia="Courier New" w:hAnsi="Courier New"/>
          <w:sz w:val="18"/>
          <w:szCs w:val="18"/>
          <w:color w:val="auto"/>
        </w:rPr>
        <w:t>creditor</w:t>
        <w:tab/>
        <w:t>as</w:t>
        <w:tab/>
        <w:t>reflected</w:t>
        <w:tab/>
        <w:t>on</w:t>
        <w:tab/>
        <w:t>Exhibit</w:t>
        <w:tab/>
        <w:t>B,</w:t>
        <w:tab/>
        <w:t>to</w:t>
        <w:tab/>
        <w:t>be</w:t>
        <w:tab/>
        <w:t>delivered</w:t>
        <w:tab/>
        <w:t>at</w:t>
        <w:tab/>
        <w:t>the</w:t>
      </w:r>
      <w:r>
        <w:rPr>
          <w:sz w:val="20"/>
          <w:szCs w:val="20"/>
          <w:color w:val="auto"/>
        </w:rPr>
        <w:tab/>
      </w:r>
      <w:r>
        <w:rPr>
          <w:rFonts w:ascii="Courier New" w:cs="Courier New" w:eastAsia="Courier New" w:hAnsi="Courier New"/>
          <w:sz w:val="16"/>
          <w:szCs w:val="16"/>
          <w:color w:val="auto"/>
        </w:rPr>
        <w:t>Closing.</w:t>
      </w:r>
    </w:p>
    <w:p>
      <w:pPr>
        <w:spacing w:after="0" w:line="206" w:lineRule="exact"/>
        <w:rPr>
          <w:sz w:val="20"/>
          <w:szCs w:val="20"/>
          <w:color w:val="auto"/>
        </w:rPr>
      </w:pPr>
    </w:p>
    <w:p>
      <w:pPr>
        <w:jc w:val="both"/>
        <w:ind w:right="1719" w:firstLine="1584"/>
        <w:spacing w:after="0" w:line="274" w:lineRule="auto"/>
        <w:tabs>
          <w:tab w:leader="none" w:pos="220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Torrey Pines Research, to which the Company currently owes $500,000 plus accrued but unpaid interest, shall agree to exchange such debt for 600,000 shares of a second series of the Company's preferred stock (the "Series C Preferred Stock") upon satisfaction of each of the conditions specified in</w:t>
      </w:r>
    </w:p>
    <w:p>
      <w:pPr>
        <w:sectPr>
          <w:pgSz w:w="11900" w:h="16901" w:orient="portrait"/>
          <w:cols w:equalWidth="0" w:num="1">
            <w:col w:w="10139"/>
          </w:cols>
          <w:pgMar w:left="320" w:top="136" w:right="1440" w:bottom="0" w:gutter="0" w:footer="0" w:header="0"/>
        </w:sectPr>
      </w:pPr>
    </w:p>
    <w:bookmarkStart w:id="28" w:name="page29"/>
    <w:bookmarkEnd w:id="28"/>
    <w:p>
      <w:pPr>
        <w:ind w:right="1719"/>
        <w:spacing w:after="0" w:line="268" w:lineRule="auto"/>
        <w:rPr>
          <w:sz w:val="20"/>
          <w:szCs w:val="20"/>
          <w:color w:val="auto"/>
        </w:rPr>
      </w:pPr>
      <w:r>
        <w:rPr>
          <w:rFonts w:ascii="Courier New" w:cs="Courier New" w:eastAsia="Courier New" w:hAnsi="Courier New"/>
          <w:sz w:val="16"/>
          <w:szCs w:val="16"/>
          <w:color w:val="auto"/>
        </w:rPr>
        <w:t>Exhibit A attached hereto. The Series C Preferred Stock will have an initial liquidation preference of $1.00 per share and will be convertible at the option of the holder at the rate of 10 shares of the Company's Common Stock for each share of Series C Preferred Stock. The Series C Preferred Stock will be redeemable by the Company, in whole or in part, at a price of $1.00 per share upon request of the holder given at any time after the expiration of one full year from the date the Series C Stock is issued provided that: (1) the Company has net income before taxes for the previous fiscal year end as reported on audited statements filed with the SEC; and (2) at the date of the redemption, the Company has sufficient cash on hand so that after the redemption, cash plus accounts receivable will exceed accounts payable and other current liabilities payable in cash. Series C Preferred Shareholders will be entitled to vote along with the holders of the Company's Common Stock on all matters, with the right to cast that number of votes per share of Series C Preferred Stock as is equal to the number of shares of Common Stock into which each share of Series C Preferred Stock is then convertible, and would contain standard conversion price adjustment provisions to reflect stock splits, stock dividends and the like.</w:t>
      </w:r>
    </w:p>
    <w:p>
      <w:pPr>
        <w:spacing w:after="0" w:line="392" w:lineRule="exact"/>
        <w:rPr>
          <w:sz w:val="20"/>
          <w:szCs w:val="20"/>
          <w:color w:val="auto"/>
        </w:rPr>
      </w:pPr>
    </w:p>
    <w:p>
      <w:pPr>
        <w:ind w:left="1900" w:hanging="842"/>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It  is  contemplated  that  the  offer  to</w:t>
      </w:r>
    </w:p>
    <w:p>
      <w:pPr>
        <w:ind w:left="1900"/>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2200" w:val="left"/>
          <w:tab w:leader="none" w:pos="2620" w:val="left"/>
          <w:tab w:leader="none" w:pos="3760" w:val="left"/>
          <w:tab w:leader="none" w:pos="4400" w:val="left"/>
        </w:tabs>
        <w:rPr>
          <w:sz w:val="20"/>
          <w:szCs w:val="20"/>
          <w:color w:val="auto"/>
        </w:rPr>
      </w:pPr>
      <w:r>
        <w:rPr>
          <w:rFonts w:ascii="Courier New" w:cs="Courier New" w:eastAsia="Courier New" w:hAnsi="Courier New"/>
          <w:sz w:val="18"/>
          <w:szCs w:val="18"/>
          <w:color w:val="auto"/>
        </w:rPr>
        <w:t>creditors</w:t>
        <w:tab/>
        <w:t>outlined</w:t>
        <w:tab/>
        <w:t>in</w:t>
        <w:tab/>
        <w:t>paragraph</w:t>
        <w:tab/>
        <w:t>4(a)</w:t>
      </w:r>
      <w:r>
        <w:rPr>
          <w:sz w:val="20"/>
          <w:szCs w:val="20"/>
          <w:color w:val="auto"/>
        </w:rPr>
        <w:tab/>
      </w:r>
      <w:r>
        <w:rPr>
          <w:rFonts w:ascii="Courier New" w:cs="Courier New" w:eastAsia="Courier New" w:hAnsi="Courier New"/>
          <w:sz w:val="16"/>
          <w:szCs w:val="16"/>
          <w:color w:val="auto"/>
        </w:rPr>
        <w:t>above would be implemented as follows:</w:t>
      </w:r>
    </w:p>
    <w:p>
      <w:pPr>
        <w:sectPr>
          <w:pgSz w:w="11900" w:h="16838" w:orient="portrait"/>
          <w:cols w:equalWidth="0" w:num="1">
            <w:col w:w="10139"/>
          </w:cols>
          <w:pgMar w:left="320" w:top="142" w:right="1440" w:bottom="1440" w:gutter="0" w:footer="0" w:header="0"/>
        </w:sectPr>
      </w:pPr>
    </w:p>
    <w:bookmarkStart w:id="29" w:name="page30"/>
    <w:bookmarkEnd w:id="29"/>
    <w:p>
      <w:pPr>
        <w:jc w:val="both"/>
        <w:ind w:right="1719" w:firstLine="1584"/>
        <w:spacing w:after="0" w:line="267" w:lineRule="auto"/>
        <w:tabs>
          <w:tab w:leader="none" w:pos="241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ten (10) business days following the finalization hereof and acceptance of such final terms and conditions by the Company, TPRG and the officers and directors of the Company would work together to develop and</w:t>
      </w:r>
    </w:p>
    <w:p>
      <w:pPr>
        <w:spacing w:after="0"/>
        <w:tabs>
          <w:tab w:leader="none" w:pos="620" w:val="left"/>
          <w:tab w:leader="none" w:pos="1140" w:val="left"/>
          <w:tab w:leader="none" w:pos="2720" w:val="left"/>
          <w:tab w:leader="none" w:pos="3880" w:val="left"/>
          <w:tab w:leader="none" w:pos="4300" w:val="left"/>
          <w:tab w:leader="none" w:pos="5660" w:val="left"/>
          <w:tab w:leader="none" w:pos="6180" w:val="left"/>
          <w:tab w:leader="none" w:pos="6920" w:val="left"/>
          <w:tab w:leader="none" w:pos="7340" w:val="left"/>
        </w:tabs>
        <w:rPr>
          <w:sz w:val="20"/>
          <w:szCs w:val="20"/>
          <w:color w:val="auto"/>
        </w:rPr>
      </w:pPr>
      <w:r>
        <w:rPr>
          <w:rFonts w:ascii="Courier New" w:cs="Courier New" w:eastAsia="Courier New" w:hAnsi="Courier New"/>
          <w:sz w:val="18"/>
          <w:szCs w:val="18"/>
          <w:color w:val="auto"/>
        </w:rPr>
        <w:t>mail</w:t>
        <w:tab/>
        <w:t>the</w:t>
        <w:tab/>
        <w:t>documentation</w:t>
        <w:tab/>
        <w:t>necessary</w:t>
        <w:tab/>
        <w:t>to</w:t>
        <w:tab/>
        <w:t>communicate</w:t>
        <w:tab/>
        <w:t>the</w:t>
        <w:tab/>
        <w:t>offer</w:t>
        <w:tab/>
        <w:t>to</w:t>
      </w:r>
      <w:r>
        <w:rPr>
          <w:sz w:val="20"/>
          <w:szCs w:val="20"/>
          <w:color w:val="auto"/>
        </w:rPr>
        <w:tab/>
      </w:r>
      <w:r>
        <w:rPr>
          <w:rFonts w:ascii="Courier New" w:cs="Courier New" w:eastAsia="Courier New" w:hAnsi="Courier New"/>
          <w:sz w:val="16"/>
          <w:szCs w:val="16"/>
          <w:color w:val="auto"/>
        </w:rPr>
        <w:t>creditors;</w:t>
      </w:r>
    </w:p>
    <w:p>
      <w:pPr>
        <w:spacing w:after="0" w:line="206" w:lineRule="exact"/>
        <w:rPr>
          <w:sz w:val="20"/>
          <w:szCs w:val="20"/>
          <w:color w:val="auto"/>
        </w:rPr>
      </w:pPr>
    </w:p>
    <w:p>
      <w:pPr>
        <w:jc w:val="both"/>
        <w:ind w:right="1719" w:firstLine="1584"/>
        <w:spacing w:after="0" w:line="236" w:lineRule="auto"/>
        <w:tabs>
          <w:tab w:leader="none" w:pos="25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Stahl, with the assistance of the other officers and directors of the Company as necessary, would directly contact each creditor owed $1,000 or more to encourage acceptance of the offer;</w:t>
      </w:r>
    </w:p>
    <w:p>
      <w:pPr>
        <w:spacing w:after="0" w:line="206" w:lineRule="exact"/>
        <w:rPr>
          <w:rFonts w:ascii="Courier New" w:cs="Courier New" w:eastAsia="Courier New" w:hAnsi="Courier New"/>
          <w:sz w:val="18"/>
          <w:szCs w:val="18"/>
          <w:color w:val="auto"/>
        </w:rPr>
      </w:pPr>
    </w:p>
    <w:p>
      <w:pPr>
        <w:jc w:val="both"/>
        <w:ind w:right="1719" w:firstLine="1584"/>
        <w:spacing w:after="0" w:line="278" w:lineRule="auto"/>
        <w:tabs>
          <w:tab w:leader="none" w:pos="2626"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Among other things, consummation of the Reorganization will be conditioned upon acceptance of the offer by creditors holding at least 95% of all of the indebtedness of the Company reflected on Exhibit B; and</w:t>
      </w:r>
    </w:p>
    <w:p>
      <w:pPr>
        <w:spacing w:after="0" w:line="178" w:lineRule="exact"/>
        <w:rPr>
          <w:rFonts w:ascii="Courier New" w:cs="Courier New" w:eastAsia="Courier New" w:hAnsi="Courier New"/>
          <w:sz w:val="16"/>
          <w:szCs w:val="16"/>
          <w:color w:val="auto"/>
        </w:rPr>
      </w:pPr>
    </w:p>
    <w:p>
      <w:pPr>
        <w:jc w:val="both"/>
        <w:ind w:right="1719" w:firstLine="1584"/>
        <w:spacing w:after="0" w:line="236" w:lineRule="auto"/>
        <w:tabs>
          <w:tab w:leader="none" w:pos="25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consummation of the Reorganization, except the indebtedness of the Company to the State of South Dakota which is to survive the Reorganization, the debts, obligations and liabilities of the Company shall not exceed 5% of the aggregate amount reflected on Exhibit B, all of which shall be and remain subject to applicable statutes of limitations on actions to be brought by creditors on account thereof.</w:t>
      </w:r>
    </w:p>
    <w:p>
      <w:pPr>
        <w:spacing w:after="0" w:line="211" w:lineRule="exact"/>
        <w:rPr>
          <w:sz w:val="20"/>
          <w:szCs w:val="20"/>
          <w:color w:val="auto"/>
        </w:rPr>
      </w:pPr>
    </w:p>
    <w:p>
      <w:pPr>
        <w:ind w:left="1900" w:hanging="842"/>
        <w:spacing w:after="0"/>
        <w:tabs>
          <w:tab w:leader="none" w:pos="19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Consummation  of the Reorganization would occur at a</w:t>
      </w:r>
    </w:p>
    <w:p>
      <w:pPr>
        <w:spacing w:after="0" w:line="16" w:lineRule="exact"/>
        <w:rPr>
          <w:rFonts w:ascii="Courier New" w:cs="Courier New" w:eastAsia="Courier New" w:hAnsi="Courier New"/>
          <w:sz w:val="16"/>
          <w:szCs w:val="16"/>
          <w:color w:val="auto"/>
        </w:rPr>
      </w:pPr>
    </w:p>
    <w:p>
      <w:pPr>
        <w:ind w:left="1900"/>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19"/>
        <w:spacing w:after="0" w:line="237" w:lineRule="auto"/>
        <w:rPr>
          <w:sz w:val="20"/>
          <w:szCs w:val="20"/>
          <w:color w:val="auto"/>
        </w:rPr>
      </w:pPr>
      <w:r>
        <w:rPr>
          <w:rFonts w:ascii="Courier New" w:cs="Courier New" w:eastAsia="Courier New" w:hAnsi="Courier New"/>
          <w:sz w:val="18"/>
          <w:szCs w:val="18"/>
          <w:color w:val="auto"/>
        </w:rPr>
        <w:t>Closing to be held within three business days following the satisfaction of all conditions precedent thereto set forth herein, and such other conditions as TPRG, in its sole discretion, shall deem to be necessary or desirable and appropriate. Without limiting the generality of the foregoing, the Closing shall be conditioned upon a determination by TPRG, in its sole discretion, that the transactions contemplated as part of the proposed Reorganization will not constitute a "change in control" for purposes of Section 382 of the Internal Revenue Code which would limit the use by the Company of its net operating loss carry-forwards from and after the Closing.</w:t>
      </w:r>
    </w:p>
    <w:p>
      <w:pPr>
        <w:spacing w:after="0" w:line="208" w:lineRule="exact"/>
        <w:rPr>
          <w:sz w:val="20"/>
          <w:szCs w:val="20"/>
          <w:color w:val="auto"/>
        </w:rPr>
      </w:pPr>
    </w:p>
    <w:p>
      <w:pPr>
        <w:ind w:left="1900" w:hanging="842"/>
        <w:spacing w:after="0"/>
        <w:tabs>
          <w:tab w:leader="none" w:pos="19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During  the  period  between the date hereof</w:t>
      </w:r>
    </w:p>
    <w:p>
      <w:pPr>
        <w:spacing w:after="0" w:line="16" w:lineRule="exact"/>
        <w:rPr>
          <w:rFonts w:ascii="Courier New" w:cs="Courier New" w:eastAsia="Courier New" w:hAnsi="Courier New"/>
          <w:sz w:val="16"/>
          <w:szCs w:val="16"/>
          <w:color w:val="auto"/>
        </w:rPr>
      </w:pPr>
    </w:p>
    <w:p>
      <w:pPr>
        <w:ind w:left="1900"/>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19"/>
        <w:spacing w:after="0" w:line="268" w:lineRule="auto"/>
        <w:rPr>
          <w:sz w:val="20"/>
          <w:szCs w:val="20"/>
          <w:color w:val="auto"/>
        </w:rPr>
      </w:pPr>
      <w:r>
        <w:rPr>
          <w:rFonts w:ascii="Courier New" w:cs="Courier New" w:eastAsia="Courier New" w:hAnsi="Courier New"/>
          <w:sz w:val="16"/>
          <w:szCs w:val="16"/>
          <w:color w:val="auto"/>
        </w:rPr>
        <w:t>and the Closing, each the Company shall give to TPRG and its authorized representatives full access, during reasonable business hours, in such a manner as not unduly to disrupt normal business activities, to any and all of the Company's premises, properties, contracts, books, records and affairs, and shall cause the Company's officers to furnish any and all data and information pertaining to the Company's business that TPRG or its representatives may from time to time reasonably require. The Closing will be conditioned upon verification by TPRG that the assets and liabilities, and the prospects and condition, financial and otherwise, of the Company are as have been represented to TPRG. Unless and until the transactions contemplated by this letter have been consummated, neither the Company or any of its officers and directors, one the one hand, nor TPRG or any of its officers and directors, on the other hand, shall make any announcement or other disclosure with respect to the receipt or acceptance of this Term Sheet, or the transaction proposed herein, or the closing of the transactions contemplated hereby, without the consent of the other party (which shall not unreasonably be withheld), and each shall hold in confidence all information obtained from the other. In the event that the</w:t>
      </w:r>
    </w:p>
    <w:p>
      <w:pPr>
        <w:sectPr>
          <w:pgSz w:w="11900" w:h="16838" w:orient="portrait"/>
          <w:cols w:equalWidth="0" w:num="1">
            <w:col w:w="10139"/>
          </w:cols>
          <w:pgMar w:left="320" w:top="519" w:right="1440" w:bottom="1440" w:gutter="0" w:footer="0" w:header="0"/>
        </w:sectPr>
      </w:pPr>
    </w:p>
    <w:bookmarkStart w:id="30" w:name="page31"/>
    <w:bookmarkEnd w:id="30"/>
    <w:p>
      <w:pPr>
        <w:jc w:val="both"/>
        <w:ind w:right="1719"/>
        <w:spacing w:after="0" w:line="237" w:lineRule="auto"/>
        <w:rPr>
          <w:sz w:val="20"/>
          <w:szCs w:val="20"/>
          <w:color w:val="auto"/>
        </w:rPr>
      </w:pPr>
      <w:r>
        <w:rPr>
          <w:rFonts w:ascii="Courier New" w:cs="Courier New" w:eastAsia="Courier New" w:hAnsi="Courier New"/>
          <w:sz w:val="18"/>
          <w:szCs w:val="18"/>
          <w:color w:val="auto"/>
        </w:rPr>
        <w:t>transactions contemplated hereby are not consummated, each party shall return to the other all documents so obtained. This obligation of confidentiality shall not extend to any information which is shown to have previously been (i) known to the party receiving it, (ii) generally known to others engaged in the trade or business of the party receiving it, (iii) part of public knowledge or literature, or (iv) lawfully received from a third party not having a duty of confidentiality.</w:t>
      </w:r>
    </w:p>
    <w:p>
      <w:pPr>
        <w:spacing w:after="0" w:line="207" w:lineRule="exact"/>
        <w:rPr>
          <w:sz w:val="20"/>
          <w:szCs w:val="20"/>
          <w:color w:val="auto"/>
        </w:rPr>
      </w:pPr>
    </w:p>
    <w:p>
      <w:pPr>
        <w:jc w:val="both"/>
        <w:ind w:right="1719" w:firstLine="533"/>
        <w:spacing w:after="0" w:line="236" w:lineRule="auto"/>
        <w:tabs>
          <w:tab w:leader="none" w:pos="126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Beginning immediately upon acceptance of the final terms and conditions hereof by the parties and continuing until the Closing, neither party shall entertain, negotiate or discuss with any third party, directly or indirectly, at any time between the date hereof and the Closing, any possible business combination, sale or assets or stock, or other transaction which is</w:t>
      </w:r>
    </w:p>
    <w:p>
      <w:pPr>
        <w:spacing w:after="0" w:line="2" w:lineRule="exact"/>
        <w:rPr>
          <w:sz w:val="20"/>
          <w:szCs w:val="20"/>
          <w:color w:val="auto"/>
        </w:rPr>
      </w:pPr>
    </w:p>
    <w:p>
      <w:pPr>
        <w:spacing w:after="0"/>
        <w:tabs>
          <w:tab w:leader="none" w:pos="1460" w:val="left"/>
          <w:tab w:leader="none" w:pos="2080" w:val="left"/>
          <w:tab w:leader="none" w:pos="2620" w:val="left"/>
          <w:tab w:leader="none" w:pos="4080" w:val="left"/>
          <w:tab w:leader="none" w:pos="5560" w:val="left"/>
        </w:tabs>
        <w:rPr>
          <w:sz w:val="20"/>
          <w:szCs w:val="20"/>
          <w:color w:val="auto"/>
        </w:rPr>
      </w:pPr>
      <w:r>
        <w:rPr>
          <w:rFonts w:ascii="Courier New" w:cs="Courier New" w:eastAsia="Courier New" w:hAnsi="Courier New"/>
          <w:sz w:val="18"/>
          <w:szCs w:val="18"/>
          <w:color w:val="auto"/>
        </w:rPr>
        <w:t>inconsistent</w:t>
        <w:tab/>
        <w:t>with</w:t>
        <w:tab/>
        <w:t>the</w:t>
        <w:tab/>
        <w:t>transactions</w:t>
        <w:tab/>
        <w:t>contemplated</w:t>
      </w:r>
      <w:r>
        <w:rPr>
          <w:sz w:val="20"/>
          <w:szCs w:val="20"/>
          <w:color w:val="auto"/>
        </w:rPr>
        <w:tab/>
      </w:r>
      <w:r>
        <w:rPr>
          <w:rFonts w:ascii="Courier New" w:cs="Courier New" w:eastAsia="Courier New" w:hAnsi="Courier New"/>
          <w:sz w:val="16"/>
          <w:szCs w:val="16"/>
          <w:color w:val="auto"/>
        </w:rPr>
        <w:t>hereby.</w:t>
      </w:r>
    </w:p>
    <w:p>
      <w:pPr>
        <w:spacing w:after="0" w:line="206" w:lineRule="exact"/>
        <w:rPr>
          <w:sz w:val="20"/>
          <w:szCs w:val="20"/>
          <w:color w:val="auto"/>
        </w:rPr>
      </w:pPr>
    </w:p>
    <w:p>
      <w:pPr>
        <w:jc w:val="both"/>
        <w:ind w:right="1719" w:firstLine="525"/>
        <w:spacing w:after="0" w:line="236" w:lineRule="auto"/>
        <w:rPr>
          <w:sz w:val="20"/>
          <w:szCs w:val="20"/>
          <w:color w:val="auto"/>
        </w:rPr>
      </w:pPr>
      <w:r>
        <w:rPr>
          <w:rFonts w:ascii="Courier New" w:cs="Courier New" w:eastAsia="Courier New" w:hAnsi="Courier New"/>
          <w:sz w:val="18"/>
          <w:szCs w:val="18"/>
          <w:color w:val="auto"/>
        </w:rPr>
        <w:t>If each of the members of the Board of Directors of the Company (other than Mr. Hanson) is in agreement with the terms and conditions set forth above, please so indicate by signing this Term Sheet where indicated below, and by causing this Term Sheet to be signed on behalf of the Company as indicated below.</w:t>
      </w:r>
    </w:p>
    <w:p>
      <w:pPr>
        <w:spacing w:after="0" w:line="20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Dated:</w:t>
        <w:tab/>
        <w:t>December 4, 1998</w:t>
      </w:r>
    </w:p>
    <w:p>
      <w:pPr>
        <w:sectPr>
          <w:pgSz w:w="11900" w:h="16838" w:orient="portrait"/>
          <w:cols w:equalWidth="0" w:num="1">
            <w:col w:w="10139"/>
          </w:cols>
          <w:pgMar w:left="320" w:top="519" w:right="1440" w:bottom="1440" w:gutter="0" w:footer="0" w:header="0"/>
        </w:sectPr>
      </w:pPr>
    </w:p>
    <w:p>
      <w:pPr>
        <w:spacing w:after="0" w:line="20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TPR</w:t>
      </w:r>
    </w:p>
    <w:p>
      <w:pPr>
        <w:spacing w:after="0" w:line="15"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GROUP,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16" w:lineRule="exact"/>
        <w:rPr>
          <w:sz w:val="20"/>
          <w:szCs w:val="20"/>
          <w:color w:val="auto"/>
        </w:rPr>
      </w:pPr>
    </w:p>
    <w:p>
      <w:pPr>
        <w:sectPr>
          <w:pgSz w:w="11900" w:h="16838" w:orient="portrait"/>
          <w:cols w:equalWidth="0" w:num="3">
            <w:col w:w="4740" w:space="0"/>
            <w:col w:w="840" w:space="200"/>
            <w:col w:w="4359"/>
          </w:cols>
          <w:pgMar w:left="320" w:top="519" w:right="1440" w:bottom="1440" w:gutter="0" w:footer="0" w:header="0"/>
          <w:type w:val="continuous"/>
        </w:sectPr>
      </w:pP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By: /S/ William J. Hanson, President</w:t>
      </w:r>
    </w:p>
    <w:p>
      <w:pPr>
        <w:spacing w:after="0" w:line="21"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8"/>
          <w:szCs w:val="18"/>
          <w:color w:val="auto"/>
        </w:rPr>
        <w:t>William J. Hanson, President</w:t>
      </w:r>
    </w:p>
    <w:p>
      <w:pPr>
        <w:spacing w:after="0" w:line="200" w:lineRule="exact"/>
        <w:rPr>
          <w:sz w:val="20"/>
          <w:szCs w:val="20"/>
          <w:color w:val="auto"/>
        </w:rPr>
      </w:pPr>
    </w:p>
    <w:p>
      <w:pPr>
        <w:spacing w:after="0" w:line="202" w:lineRule="exact"/>
        <w:rPr>
          <w:sz w:val="20"/>
          <w:szCs w:val="20"/>
          <w:color w:val="auto"/>
        </w:rPr>
      </w:pPr>
    </w:p>
    <w:p>
      <w:pPr>
        <w:spacing w:after="0"/>
        <w:tabs>
          <w:tab w:leader="none" w:pos="820" w:val="left"/>
          <w:tab w:leader="none" w:pos="1240" w:val="left"/>
          <w:tab w:leader="none" w:pos="1780" w:val="left"/>
        </w:tabs>
        <w:rPr>
          <w:sz w:val="20"/>
          <w:szCs w:val="20"/>
          <w:color w:val="auto"/>
        </w:rPr>
      </w:pPr>
      <w:r>
        <w:rPr>
          <w:rFonts w:ascii="Courier New" w:cs="Courier New" w:eastAsia="Courier New" w:hAnsi="Courier New"/>
          <w:sz w:val="18"/>
          <w:szCs w:val="18"/>
          <w:color w:val="auto"/>
        </w:rPr>
        <w:t>AGREED</w:t>
        <w:tab/>
        <w:t>TO</w:t>
        <w:tab/>
        <w:t>AND</w:t>
      </w:r>
      <w:r>
        <w:rPr>
          <w:sz w:val="20"/>
          <w:szCs w:val="20"/>
          <w:color w:val="auto"/>
        </w:rPr>
        <w:tab/>
      </w:r>
      <w:r>
        <w:rPr>
          <w:rFonts w:ascii="Courier New" w:cs="Courier New" w:eastAsia="Courier New" w:hAnsi="Courier New"/>
          <w:sz w:val="16"/>
          <w:szCs w:val="16"/>
          <w:color w:val="auto"/>
        </w:rPr>
        <w:t>ACCEPTED,</w:t>
      </w:r>
    </w:p>
    <w:p>
      <w:pPr>
        <w:spacing w:after="0" w:line="237" w:lineRule="auto"/>
        <w:rPr>
          <w:sz w:val="20"/>
          <w:szCs w:val="20"/>
          <w:color w:val="auto"/>
        </w:rPr>
      </w:pPr>
      <w:r>
        <w:rPr>
          <w:rFonts w:ascii="Courier New" w:cs="Courier New" w:eastAsia="Courier New" w:hAnsi="Courier New"/>
          <w:sz w:val="18"/>
          <w:szCs w:val="18"/>
          <w:color w:val="auto"/>
        </w:rPr>
        <w:t>this 4th day of December 1998: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Russell Pohl</w:t>
      </w:r>
    </w:p>
    <w:p>
      <w:pPr>
        <w:spacing w:after="0" w:line="201" w:lineRule="exact"/>
        <w:rPr>
          <w:sz w:val="20"/>
          <w:szCs w:val="20"/>
          <w:color w:val="auto"/>
        </w:rPr>
      </w:pPr>
    </w:p>
    <w:p>
      <w:pPr>
        <w:ind w:left="4420"/>
        <w:spacing w:after="0"/>
        <w:tabs>
          <w:tab w:leader="none" w:pos="5760" w:val="left"/>
        </w:tabs>
        <w:rPr>
          <w:sz w:val="20"/>
          <w:szCs w:val="20"/>
          <w:color w:val="auto"/>
        </w:rPr>
      </w:pPr>
      <w:r>
        <w:rPr>
          <w:rFonts w:ascii="Courier New" w:cs="Courier New" w:eastAsia="Courier New" w:hAnsi="Courier New"/>
          <w:sz w:val="18"/>
          <w:szCs w:val="18"/>
          <w:color w:val="auto"/>
        </w:rPr>
        <w:t>INTERACTIVE</w:t>
      </w:r>
      <w:r>
        <w:rPr>
          <w:sz w:val="20"/>
          <w:szCs w:val="20"/>
          <w:color w:val="auto"/>
        </w:rPr>
        <w:tab/>
      </w:r>
      <w:r>
        <w:rPr>
          <w:rFonts w:ascii="Courier New" w:cs="Courier New" w:eastAsia="Courier New" w:hAnsi="Courier New"/>
          <w:sz w:val="16"/>
          <w:szCs w:val="16"/>
          <w:color w:val="auto"/>
        </w:rPr>
        <w:t>INC.</w:t>
      </w:r>
    </w:p>
    <w:p>
      <w:pPr>
        <w:ind w:left="220" w:hanging="212"/>
        <w:spacing w:after="0" w:line="237"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Gary  Kappenman</w:t>
      </w:r>
    </w:p>
    <w:p>
      <w:pPr>
        <w:spacing w:after="0" w:line="201"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519" w:right="1440" w:bottom="1440" w:gutter="0" w:footer="0" w:header="0"/>
          <w:type w:val="continuous"/>
        </w:sectPr>
      </w:pPr>
    </w:p>
    <w:bookmarkStart w:id="31" w:name="page32"/>
    <w:bookmarkEnd w:id="31"/>
    <w:p>
      <w:pPr>
        <w:ind w:left="3780"/>
        <w:spacing w:after="0"/>
        <w:rPr>
          <w:sz w:val="20"/>
          <w:szCs w:val="20"/>
          <w:color w:val="auto"/>
        </w:rPr>
      </w:pPr>
      <w:r>
        <w:rPr>
          <w:rFonts w:ascii="Courier New" w:cs="Courier New" w:eastAsia="Courier New" w:hAnsi="Courier New"/>
          <w:sz w:val="18"/>
          <w:szCs w:val="18"/>
          <w:color w:val="auto"/>
        </w:rPr>
        <w:t>EXHIBIT A</w:t>
      </w:r>
    </w:p>
    <w:p>
      <w:pPr>
        <w:ind w:left="4100"/>
        <w:spacing w:after="0" w:line="237" w:lineRule="auto"/>
        <w:rPr>
          <w:sz w:val="20"/>
          <w:szCs w:val="20"/>
          <w:color w:val="auto"/>
        </w:rPr>
      </w:pPr>
      <w:r>
        <w:rPr>
          <w:rFonts w:ascii="Courier New" w:cs="Courier New" w:eastAsia="Courier New" w:hAnsi="Courier New"/>
          <w:sz w:val="18"/>
          <w:szCs w:val="18"/>
          <w:color w:val="auto"/>
        </w:rPr>
        <w:t>to</w:t>
      </w:r>
    </w:p>
    <w:p>
      <w:pPr>
        <w:ind w:left="3680"/>
        <w:spacing w:after="0" w:line="238" w:lineRule="auto"/>
        <w:rPr>
          <w:sz w:val="20"/>
          <w:szCs w:val="20"/>
          <w:color w:val="auto"/>
        </w:rPr>
      </w:pPr>
      <w:r>
        <w:rPr>
          <w:rFonts w:ascii="Courier New" w:cs="Courier New" w:eastAsia="Courier New" w:hAnsi="Courier New"/>
          <w:sz w:val="18"/>
          <w:szCs w:val="18"/>
          <w:color w:val="auto"/>
        </w:rPr>
        <w:t>Term Sheet</w:t>
      </w:r>
    </w:p>
    <w:p>
      <w:pPr>
        <w:spacing w:after="0" w:line="200" w:lineRule="exact"/>
        <w:rPr>
          <w:sz w:val="20"/>
          <w:szCs w:val="20"/>
          <w:color w:val="auto"/>
        </w:rPr>
      </w:pPr>
    </w:p>
    <w:p>
      <w:pPr>
        <w:spacing w:after="0" w:line="209" w:lineRule="exact"/>
        <w:rPr>
          <w:sz w:val="20"/>
          <w:szCs w:val="20"/>
          <w:color w:val="auto"/>
        </w:rPr>
      </w:pPr>
    </w:p>
    <w:p>
      <w:pPr>
        <w:jc w:val="both"/>
        <w:ind w:right="1719" w:firstLine="525"/>
        <w:spacing w:after="0" w:line="274" w:lineRule="auto"/>
        <w:rPr>
          <w:sz w:val="20"/>
          <w:szCs w:val="20"/>
          <w:color w:val="auto"/>
        </w:rPr>
      </w:pPr>
      <w:r>
        <w:rPr>
          <w:rFonts w:ascii="Courier New" w:cs="Courier New" w:eastAsia="Courier New" w:hAnsi="Courier New"/>
          <w:sz w:val="16"/>
          <w:szCs w:val="16"/>
          <w:color w:val="auto"/>
        </w:rPr>
        <w:t>It is understood and agreed that Torrey Pines Research, Inc. would have no obligation to exchange stock for indebtedness owed by the Company to Torrey Pines Research, Inc. which is referred to in paragraph 4(a)(ii) of the Term Sheet unless and until each of the following conditions have been satisfied:</w:t>
      </w:r>
    </w:p>
    <w:p>
      <w:pPr>
        <w:spacing w:after="0" w:line="182" w:lineRule="exact"/>
        <w:rPr>
          <w:sz w:val="20"/>
          <w:szCs w:val="20"/>
          <w:color w:val="auto"/>
        </w:rPr>
      </w:pPr>
    </w:p>
    <w:p>
      <w:pPr>
        <w:ind w:left="1260" w:hanging="727"/>
        <w:spacing w:after="0"/>
        <w:tabs>
          <w:tab w:leader="none" w:pos="12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18 months shall have expired since the consummation of the</w:t>
      </w:r>
    </w:p>
    <w:p>
      <w:pPr>
        <w:spacing w:after="0" w:line="15" w:lineRule="exact"/>
        <w:rPr>
          <w:sz w:val="20"/>
          <w:szCs w:val="20"/>
          <w:color w:val="auto"/>
        </w:rPr>
      </w:pPr>
    </w:p>
    <w:p>
      <w:pPr>
        <w:spacing w:after="0"/>
        <w:tabs>
          <w:tab w:leader="none" w:pos="1660" w:val="left"/>
          <w:tab w:leader="none" w:pos="2080" w:val="left"/>
          <w:tab w:leader="none" w:pos="3560" w:val="left"/>
          <w:tab w:leader="none" w:pos="3980" w:val="left"/>
          <w:tab w:leader="none" w:pos="5140" w:val="left"/>
          <w:tab w:leader="none" w:pos="6300" w:val="left"/>
          <w:tab w:leader="none" w:pos="6720" w:val="left"/>
          <w:tab w:leader="none" w:pos="7240" w:val="left"/>
        </w:tabs>
        <w:rPr>
          <w:sz w:val="20"/>
          <w:szCs w:val="20"/>
          <w:color w:val="auto"/>
        </w:rPr>
      </w:pPr>
      <w:r>
        <w:rPr>
          <w:rFonts w:ascii="Courier New" w:cs="Courier New" w:eastAsia="Courier New" w:hAnsi="Courier New"/>
          <w:sz w:val="18"/>
          <w:szCs w:val="18"/>
          <w:color w:val="auto"/>
        </w:rPr>
        <w:t>Reorganization</w:t>
        <w:tab/>
        <w:t>as</w:t>
        <w:tab/>
        <w:t>contemplated</w:t>
        <w:tab/>
        <w:t>by</w:t>
        <w:tab/>
        <w:t>paragraph</w:t>
        <w:tab/>
        <w:t>4(b)(iii)</w:t>
        <w:tab/>
        <w:t>of</w:t>
        <w:tab/>
        <w:t>the</w:t>
      </w:r>
      <w:r>
        <w:rPr>
          <w:sz w:val="20"/>
          <w:szCs w:val="20"/>
          <w:color w:val="auto"/>
        </w:rPr>
        <w:tab/>
      </w:r>
      <w:r>
        <w:rPr>
          <w:rFonts w:ascii="Courier New" w:cs="Courier New" w:eastAsia="Courier New" w:hAnsi="Courier New"/>
          <w:sz w:val="16"/>
          <w:szCs w:val="16"/>
          <w:color w:val="auto"/>
        </w:rPr>
        <w:t>Term Sheet;</w:t>
      </w:r>
    </w:p>
    <w:p>
      <w:pPr>
        <w:spacing w:after="0" w:line="206" w:lineRule="exact"/>
        <w:rPr>
          <w:sz w:val="20"/>
          <w:szCs w:val="20"/>
          <w:color w:val="auto"/>
        </w:rPr>
      </w:pPr>
    </w:p>
    <w:p>
      <w:pPr>
        <w:jc w:val="both"/>
        <w:ind w:right="1719" w:firstLine="533"/>
        <w:spacing w:after="0" w:line="267" w:lineRule="auto"/>
        <w:tabs>
          <w:tab w:leader="none" w:pos="126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or have become subject to any obligations or liabilities existing as of the consummation of the Reorganization other than</w:t>
      </w:r>
    </w:p>
    <w:p>
      <w:pPr>
        <w:spacing w:after="0"/>
        <w:tabs>
          <w:tab w:leader="none" w:pos="720" w:val="left"/>
          <w:tab w:leader="none" w:pos="1880" w:val="left"/>
          <w:tab w:leader="none" w:pos="3340" w:val="left"/>
          <w:tab w:leader="none" w:pos="3760" w:val="left"/>
          <w:tab w:leader="none" w:pos="4920" w:val="left"/>
          <w:tab w:leader="none" w:pos="5980" w:val="left"/>
          <w:tab w:leader="none" w:pos="6400" w:val="left"/>
          <w:tab w:leader="none" w:pos="6920" w:val="left"/>
          <w:tab w:leader="none" w:pos="7560" w:val="left"/>
        </w:tabs>
        <w:rPr>
          <w:sz w:val="20"/>
          <w:szCs w:val="20"/>
          <w:color w:val="auto"/>
        </w:rPr>
      </w:pPr>
      <w:r>
        <w:rPr>
          <w:rFonts w:ascii="Courier New" w:cs="Courier New" w:eastAsia="Courier New" w:hAnsi="Courier New"/>
          <w:sz w:val="18"/>
          <w:szCs w:val="18"/>
          <w:color w:val="auto"/>
        </w:rPr>
        <w:t>those</w:t>
        <w:tab/>
        <w:t>expressly</w:t>
        <w:tab/>
        <w:t>contemplated</w:t>
        <w:tab/>
        <w:t>by</w:t>
        <w:tab/>
        <w:t>paragraph</w:t>
        <w:tab/>
        <w:t>4(b)(iv)</w:t>
        <w:tab/>
        <w:t>of</w:t>
        <w:tab/>
        <w:t>the</w:t>
        <w:tab/>
        <w:t>Term</w:t>
      </w:r>
      <w:r>
        <w:rPr>
          <w:sz w:val="20"/>
          <w:szCs w:val="20"/>
          <w:color w:val="auto"/>
        </w:rPr>
        <w:tab/>
      </w:r>
      <w:r>
        <w:rPr>
          <w:rFonts w:ascii="Courier New" w:cs="Courier New" w:eastAsia="Courier New" w:hAnsi="Courier New"/>
          <w:sz w:val="16"/>
          <w:szCs w:val="16"/>
          <w:color w:val="auto"/>
        </w:rPr>
        <w:t>Sheet;</w:t>
      </w:r>
    </w:p>
    <w:p>
      <w:pPr>
        <w:spacing w:after="0" w:line="207" w:lineRule="exact"/>
        <w:rPr>
          <w:sz w:val="20"/>
          <w:szCs w:val="20"/>
          <w:color w:val="auto"/>
        </w:rPr>
      </w:pPr>
    </w:p>
    <w:p>
      <w:pPr>
        <w:ind w:right="1719" w:firstLine="533"/>
        <w:spacing w:after="0" w:line="235" w:lineRule="auto"/>
        <w:tabs>
          <w:tab w:leader="none" w:pos="126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common stock shall have been publicly traded for at least the 180-day period immediately preceding the date on which the</w:t>
      </w:r>
    </w:p>
    <w:p>
      <w:pPr>
        <w:spacing w:after="0"/>
        <w:tabs>
          <w:tab w:leader="none" w:pos="1460" w:val="left"/>
          <w:tab w:leader="none" w:pos="1880" w:val="left"/>
          <w:tab w:leader="none" w:pos="2300" w:val="left"/>
          <w:tab w:leader="none" w:pos="2720" w:val="left"/>
          <w:tab w:leader="none" w:pos="4180" w:val="left"/>
        </w:tabs>
        <w:rPr>
          <w:sz w:val="20"/>
          <w:szCs w:val="20"/>
          <w:color w:val="auto"/>
        </w:rPr>
      </w:pPr>
      <w:r>
        <w:rPr>
          <w:rFonts w:ascii="Courier New" w:cs="Courier New" w:eastAsia="Courier New" w:hAnsi="Courier New"/>
          <w:sz w:val="18"/>
          <w:szCs w:val="18"/>
          <w:color w:val="auto"/>
        </w:rPr>
        <w:t>indebtedness</w:t>
        <w:tab/>
        <w:t>is</w:t>
        <w:tab/>
        <w:t>to</w:t>
        <w:tab/>
        <w:t>be</w:t>
        <w:tab/>
        <w:t>contributed;</w:t>
      </w:r>
      <w:r>
        <w:rPr>
          <w:sz w:val="20"/>
          <w:szCs w:val="20"/>
          <w:color w:val="auto"/>
        </w:rPr>
        <w:tab/>
      </w:r>
      <w:r>
        <w:rPr>
          <w:rFonts w:ascii="Courier New" w:cs="Courier New" w:eastAsia="Courier New" w:hAnsi="Courier New"/>
          <w:sz w:val="16"/>
          <w:szCs w:val="16"/>
          <w:color w:val="auto"/>
        </w:rPr>
        <w:t>and</w:t>
      </w:r>
    </w:p>
    <w:p>
      <w:pPr>
        <w:spacing w:after="0" w:line="207" w:lineRule="exact"/>
        <w:rPr>
          <w:sz w:val="20"/>
          <w:szCs w:val="20"/>
          <w:color w:val="auto"/>
        </w:rPr>
      </w:pPr>
    </w:p>
    <w:p>
      <w:pPr>
        <w:jc w:val="both"/>
        <w:ind w:right="1719" w:firstLine="533"/>
        <w:spacing w:after="0" w:line="236" w:lineRule="auto"/>
        <w:tabs>
          <w:tab w:leader="none" w:pos="126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publicly reported positive net income for at least two full quarters prior to the date on which the indebtedness is to be contributed.</w:t>
      </w:r>
    </w:p>
    <w:p>
      <w:pPr>
        <w:sectPr>
          <w:pgSz w:w="11900" w:h="16838" w:orient="portrait"/>
          <w:cols w:equalWidth="0" w:num="1">
            <w:col w:w="10139"/>
          </w:cols>
          <w:pgMar w:left="320" w:top="513" w:right="1440" w:bottom="1440" w:gutter="0" w:footer="0" w:header="0"/>
        </w:sectPr>
      </w:pPr>
    </w:p>
    <w:bookmarkStart w:id="32" w:name="page33"/>
    <w:bookmarkEnd w:id="32"/>
    <w:p>
      <w:pPr>
        <w:jc w:val="both"/>
        <w:spacing w:after="0" w:line="236" w:lineRule="auto"/>
        <w:tabs>
          <w:tab w:leader="none" w:pos="1261" w:val="left"/>
        </w:tabs>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5</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3" w:lineRule="exact"/>
        <w:rPr>
          <w:sz w:val="20"/>
          <w:szCs w:val="20"/>
          <w:color w:val="auto"/>
        </w:rPr>
      </w:pPr>
    </w:p>
    <w:p>
      <w:pPr>
        <w:ind w:left="2720"/>
        <w:spacing w:after="0"/>
        <w:rPr>
          <w:sz w:val="20"/>
          <w:szCs w:val="20"/>
          <w:color w:val="auto"/>
        </w:rPr>
      </w:pPr>
      <w:r>
        <w:rPr>
          <w:rFonts w:ascii="Courier New" w:cs="Courier New" w:eastAsia="Courier New" w:hAnsi="Courier New"/>
          <w:sz w:val="18"/>
          <w:szCs w:val="18"/>
          <w:color w:val="auto"/>
        </w:rPr>
        <w:t>YEAR</w:t>
      </w:r>
    </w:p>
    <w:p>
      <w:pPr>
        <w:ind w:left="2300"/>
        <w:spacing w:after="0" w:line="237" w:lineRule="auto"/>
        <w:rPr>
          <w:sz w:val="20"/>
          <w:szCs w:val="20"/>
          <w:color w:val="auto"/>
        </w:rPr>
      </w:pPr>
      <w:r>
        <w:rPr>
          <w:rFonts w:ascii="Courier New" w:cs="Courier New" w:eastAsia="Courier New" w:hAnsi="Courier New"/>
          <w:sz w:val="18"/>
          <w:szCs w:val="18"/>
          <w:color w:val="auto"/>
        </w:rPr>
        <w:t>SEP-30-1999</w:t>
      </w:r>
    </w:p>
    <w:p>
      <w:pPr>
        <w:ind w:left="2620"/>
        <w:spacing w:after="0" w:line="238" w:lineRule="auto"/>
        <w:rPr>
          <w:sz w:val="20"/>
          <w:szCs w:val="20"/>
          <w:color w:val="auto"/>
        </w:rPr>
      </w:pPr>
      <w:r>
        <w:rPr>
          <w:rFonts w:ascii="Courier New" w:cs="Courier New" w:eastAsia="Courier New" w:hAnsi="Courier New"/>
          <w:sz w:val="18"/>
          <w:szCs w:val="18"/>
          <w:color w:val="auto"/>
        </w:rPr>
        <w:t>OCT-01-1998</w:t>
      </w:r>
    </w:p>
    <w:p>
      <w:pPr>
        <w:ind w:left="2820"/>
        <w:spacing w:after="0" w:line="238" w:lineRule="auto"/>
        <w:rPr>
          <w:sz w:val="20"/>
          <w:szCs w:val="20"/>
          <w:color w:val="auto"/>
        </w:rPr>
      </w:pPr>
      <w:r>
        <w:rPr>
          <w:rFonts w:ascii="Courier New" w:cs="Courier New" w:eastAsia="Courier New" w:hAnsi="Courier New"/>
          <w:sz w:val="18"/>
          <w:szCs w:val="18"/>
          <w:color w:val="auto"/>
        </w:rPr>
        <w:t>SEP-30-1999</w:t>
      </w:r>
    </w:p>
    <w:p>
      <w:pPr>
        <w:ind w:left="4200"/>
        <w:spacing w:after="0" w:line="238" w:lineRule="auto"/>
        <w:rPr>
          <w:sz w:val="20"/>
          <w:szCs w:val="20"/>
          <w:color w:val="auto"/>
        </w:rPr>
      </w:pPr>
      <w:r>
        <w:rPr>
          <w:rFonts w:ascii="Courier New" w:cs="Courier New" w:eastAsia="Courier New" w:hAnsi="Courier New"/>
          <w:sz w:val="18"/>
          <w:szCs w:val="18"/>
          <w:color w:val="auto"/>
        </w:rPr>
        <w:t>124</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11300</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3460"/>
        <w:spacing w:after="0" w:line="238" w:lineRule="auto"/>
        <w:rPr>
          <w:sz w:val="20"/>
          <w:szCs w:val="20"/>
          <w:color w:val="auto"/>
        </w:rPr>
      </w:pPr>
      <w:r>
        <w:rPr>
          <w:rFonts w:ascii="Courier New" w:cs="Courier New" w:eastAsia="Courier New" w:hAnsi="Courier New"/>
          <w:sz w:val="18"/>
          <w:szCs w:val="18"/>
          <w:color w:val="auto"/>
        </w:rPr>
        <w:t>14295</w:t>
      </w:r>
    </w:p>
    <w:p>
      <w:pPr>
        <w:ind w:left="2940"/>
        <w:spacing w:after="0" w:line="238" w:lineRule="auto"/>
        <w:rPr>
          <w:sz w:val="20"/>
          <w:szCs w:val="20"/>
          <w:color w:val="auto"/>
        </w:rPr>
      </w:pPr>
      <w:r>
        <w:rPr>
          <w:rFonts w:ascii="Courier New" w:cs="Courier New" w:eastAsia="Courier New" w:hAnsi="Courier New"/>
          <w:sz w:val="18"/>
          <w:szCs w:val="18"/>
          <w:color w:val="auto"/>
        </w:rPr>
        <w:t>26346</w:t>
      </w:r>
    </w:p>
    <w:p>
      <w:pPr>
        <w:ind w:left="3880"/>
        <w:spacing w:after="0" w:line="237" w:lineRule="auto"/>
        <w:rPr>
          <w:sz w:val="20"/>
          <w:szCs w:val="20"/>
          <w:color w:val="auto"/>
        </w:rPr>
      </w:pPr>
      <w:r>
        <w:rPr>
          <w:rFonts w:ascii="Courier New" w:cs="Courier New" w:eastAsia="Courier New" w:hAnsi="Courier New"/>
          <w:sz w:val="18"/>
          <w:szCs w:val="18"/>
          <w:color w:val="auto"/>
        </w:rPr>
        <w:t>117493</w:t>
      </w:r>
    </w:p>
    <w:p>
      <w:pPr>
        <w:ind w:left="3140"/>
        <w:spacing w:after="0" w:line="238" w:lineRule="auto"/>
        <w:rPr>
          <w:sz w:val="20"/>
          <w:szCs w:val="20"/>
          <w:color w:val="auto"/>
        </w:rPr>
      </w:pPr>
      <w:r>
        <w:rPr>
          <w:rFonts w:ascii="Courier New" w:cs="Courier New" w:eastAsia="Courier New" w:hAnsi="Courier New"/>
          <w:sz w:val="18"/>
          <w:szCs w:val="18"/>
          <w:color w:val="auto"/>
        </w:rPr>
        <w:t>61546</w:t>
      </w:r>
    </w:p>
    <w:p>
      <w:pPr>
        <w:ind w:left="3140"/>
        <w:spacing w:after="0" w:line="238" w:lineRule="auto"/>
        <w:rPr>
          <w:sz w:val="20"/>
          <w:szCs w:val="20"/>
          <w:color w:val="auto"/>
        </w:rPr>
      </w:pPr>
      <w:r>
        <w:rPr>
          <w:rFonts w:ascii="Courier New" w:cs="Courier New" w:eastAsia="Courier New" w:hAnsi="Courier New"/>
          <w:sz w:val="18"/>
          <w:szCs w:val="18"/>
          <w:color w:val="auto"/>
        </w:rPr>
        <w:t>82293</w:t>
      </w:r>
    </w:p>
    <w:p>
      <w:pPr>
        <w:ind w:left="2200"/>
        <w:spacing w:after="0" w:line="238" w:lineRule="auto"/>
        <w:rPr>
          <w:sz w:val="20"/>
          <w:szCs w:val="20"/>
          <w:color w:val="auto"/>
        </w:rPr>
      </w:pPr>
      <w:r>
        <w:rPr>
          <w:rFonts w:ascii="Courier New" w:cs="Courier New" w:eastAsia="Courier New" w:hAnsi="Courier New"/>
          <w:sz w:val="18"/>
          <w:szCs w:val="18"/>
          <w:color w:val="auto"/>
        </w:rPr>
        <w:t>1035393</w:t>
      </w:r>
    </w:p>
    <w:p>
      <w:pPr>
        <w:ind w:left="4300"/>
        <w:spacing w:after="0" w:line="237" w:lineRule="auto"/>
        <w:rPr>
          <w:sz w:val="20"/>
          <w:szCs w:val="20"/>
          <w:color w:val="auto"/>
        </w:rPr>
      </w:pPr>
      <w:r>
        <w:rPr>
          <w:rFonts w:ascii="Courier New" w:cs="Courier New" w:eastAsia="Courier New" w:hAnsi="Courier New"/>
          <w:sz w:val="18"/>
          <w:szCs w:val="18"/>
          <w:color w:val="auto"/>
        </w:rPr>
        <w:t>0</w:t>
      </w:r>
    </w:p>
    <w:p>
      <w:pPr>
        <w:ind w:left="2820"/>
        <w:spacing w:after="0" w:line="238" w:lineRule="auto"/>
        <w:rPr>
          <w:sz w:val="20"/>
          <w:szCs w:val="20"/>
          <w:color w:val="auto"/>
        </w:rPr>
      </w:pPr>
      <w:r>
        <w:rPr>
          <w:rFonts w:ascii="Courier New" w:cs="Courier New" w:eastAsia="Courier New" w:hAnsi="Courier New"/>
          <w:sz w:val="18"/>
          <w:szCs w:val="18"/>
          <w:color w:val="auto"/>
        </w:rPr>
        <w:t>0</w:t>
      </w:r>
    </w:p>
    <w:p>
      <w:pPr>
        <w:ind w:left="3560"/>
        <w:spacing w:after="0" w:line="238" w:lineRule="auto"/>
        <w:rPr>
          <w:sz w:val="20"/>
          <w:szCs w:val="20"/>
          <w:color w:val="auto"/>
        </w:rPr>
      </w:pPr>
      <w:r>
        <w:rPr>
          <w:rFonts w:ascii="Courier New" w:cs="Courier New" w:eastAsia="Courier New" w:hAnsi="Courier New"/>
          <w:sz w:val="18"/>
          <w:szCs w:val="18"/>
          <w:color w:val="auto"/>
        </w:rPr>
        <w:t>2114</w:t>
      </w:r>
    </w:p>
    <w:p>
      <w:pPr>
        <w:ind w:left="3880"/>
        <w:spacing w:after="0" w:line="238" w:lineRule="auto"/>
        <w:rPr>
          <w:sz w:val="20"/>
          <w:szCs w:val="20"/>
          <w:color w:val="auto"/>
        </w:rPr>
      </w:pPr>
      <w:r>
        <w:rPr>
          <w:rFonts w:ascii="Courier New" w:cs="Courier New" w:eastAsia="Courier New" w:hAnsi="Courier New"/>
          <w:sz w:val="18"/>
          <w:szCs w:val="18"/>
          <w:color w:val="auto"/>
        </w:rPr>
        <w:t>4912</w:t>
      </w:r>
    </w:p>
    <w:p>
      <w:pPr>
        <w:ind w:left="3360"/>
        <w:spacing w:after="0" w:line="238" w:lineRule="auto"/>
        <w:rPr>
          <w:sz w:val="20"/>
          <w:szCs w:val="20"/>
          <w:color w:val="auto"/>
        </w:rPr>
      </w:pPr>
      <w:r>
        <w:rPr>
          <w:rFonts w:ascii="Courier New" w:cs="Courier New" w:eastAsia="Courier New" w:hAnsi="Courier New"/>
          <w:sz w:val="18"/>
          <w:szCs w:val="18"/>
          <w:color w:val="auto"/>
        </w:rPr>
        <w:t>8040217</w:t>
      </w:r>
    </w:p>
    <w:p>
      <w:pPr>
        <w:ind w:left="1680"/>
        <w:spacing w:after="0" w:line="237" w:lineRule="auto"/>
        <w:rPr>
          <w:sz w:val="20"/>
          <w:szCs w:val="20"/>
          <w:color w:val="auto"/>
        </w:rPr>
      </w:pPr>
      <w:r>
        <w:rPr>
          <w:rFonts w:ascii="Courier New" w:cs="Courier New" w:eastAsia="Courier New" w:hAnsi="Courier New"/>
          <w:sz w:val="18"/>
          <w:szCs w:val="18"/>
          <w:color w:val="auto"/>
        </w:rPr>
        <w:t>82293</w:t>
      </w:r>
    </w:p>
    <w:p>
      <w:pPr>
        <w:ind w:left="3880"/>
        <w:spacing w:after="0" w:line="238" w:lineRule="auto"/>
        <w:rPr>
          <w:sz w:val="20"/>
          <w:szCs w:val="20"/>
          <w:color w:val="auto"/>
        </w:rPr>
      </w:pPr>
      <w:r>
        <w:rPr>
          <w:rFonts w:ascii="Courier New" w:cs="Courier New" w:eastAsia="Courier New" w:hAnsi="Courier New"/>
          <w:sz w:val="18"/>
          <w:szCs w:val="18"/>
          <w:color w:val="auto"/>
        </w:rPr>
        <w:t>36998</w:t>
      </w:r>
    </w:p>
    <w:p>
      <w:pPr>
        <w:ind w:left="2940"/>
        <w:spacing w:after="0" w:line="238" w:lineRule="auto"/>
        <w:rPr>
          <w:sz w:val="20"/>
          <w:szCs w:val="20"/>
          <w:color w:val="auto"/>
        </w:rPr>
      </w:pPr>
      <w:r>
        <w:rPr>
          <w:rFonts w:ascii="Courier New" w:cs="Courier New" w:eastAsia="Courier New" w:hAnsi="Courier New"/>
          <w:sz w:val="18"/>
          <w:szCs w:val="18"/>
          <w:color w:val="auto"/>
        </w:rPr>
        <w:t>36998</w:t>
      </w:r>
    </w:p>
    <w:p>
      <w:pPr>
        <w:jc w:val="right"/>
        <w:ind w:right="5399"/>
        <w:spacing w:after="0" w:line="238" w:lineRule="auto"/>
        <w:rPr>
          <w:sz w:val="20"/>
          <w:szCs w:val="20"/>
          <w:color w:val="auto"/>
        </w:rPr>
      </w:pPr>
      <w:r>
        <w:rPr>
          <w:rFonts w:ascii="Courier New" w:cs="Courier New" w:eastAsia="Courier New" w:hAnsi="Courier New"/>
          <w:sz w:val="18"/>
          <w:szCs w:val="18"/>
          <w:color w:val="auto"/>
        </w:rPr>
        <w:t>2852</w:t>
      </w:r>
    </w:p>
    <w:p>
      <w:pPr>
        <w:ind w:left="3360"/>
        <w:spacing w:after="0" w:line="237" w:lineRule="auto"/>
        <w:rPr>
          <w:sz w:val="20"/>
          <w:szCs w:val="20"/>
          <w:color w:val="auto"/>
        </w:rPr>
      </w:pPr>
      <w:r>
        <w:rPr>
          <w:rFonts w:ascii="Courier New" w:cs="Courier New" w:eastAsia="Courier New" w:hAnsi="Courier New"/>
          <w:sz w:val="18"/>
          <w:szCs w:val="18"/>
          <w:color w:val="auto"/>
        </w:rPr>
        <w:t>2852</w:t>
      </w:r>
    </w:p>
    <w:p>
      <w:pPr>
        <w:ind w:left="2820"/>
        <w:spacing w:after="0" w:line="238" w:lineRule="auto"/>
        <w:rPr>
          <w:sz w:val="20"/>
          <w:szCs w:val="20"/>
          <w:color w:val="auto"/>
        </w:rPr>
      </w:pPr>
      <w:r>
        <w:rPr>
          <w:rFonts w:ascii="Courier New" w:cs="Courier New" w:eastAsia="Courier New" w:hAnsi="Courier New"/>
          <w:sz w:val="18"/>
          <w:szCs w:val="18"/>
          <w:color w:val="auto"/>
        </w:rPr>
        <w:t>350922</w:t>
      </w:r>
    </w:p>
    <w:p>
      <w:pPr>
        <w:ind w:left="3360"/>
        <w:spacing w:after="0" w:line="238" w:lineRule="auto"/>
        <w:rPr>
          <w:sz w:val="20"/>
          <w:szCs w:val="20"/>
          <w:color w:val="auto"/>
        </w:rPr>
      </w:pPr>
      <w:r>
        <w:rPr>
          <w:rFonts w:ascii="Courier New" w:cs="Courier New" w:eastAsia="Courier New" w:hAnsi="Courier New"/>
          <w:sz w:val="18"/>
          <w:szCs w:val="18"/>
          <w:color w:val="auto"/>
        </w:rPr>
        <w:t>0</w:t>
      </w:r>
    </w:p>
    <w:p>
      <w:pPr>
        <w:ind w:left="2620"/>
        <w:spacing w:after="0" w:line="238" w:lineRule="auto"/>
        <w:rPr>
          <w:sz w:val="20"/>
          <w:szCs w:val="20"/>
          <w:color w:val="auto"/>
        </w:rPr>
      </w:pPr>
      <w:r>
        <w:rPr>
          <w:rFonts w:ascii="Courier New" w:cs="Courier New" w:eastAsia="Courier New" w:hAnsi="Courier New"/>
          <w:sz w:val="18"/>
          <w:szCs w:val="18"/>
          <w:color w:val="auto"/>
        </w:rPr>
        <w:t>105684</w:t>
      </w:r>
    </w:p>
    <w:p>
      <w:pPr>
        <w:ind w:left="2820"/>
        <w:spacing w:after="0" w:line="238" w:lineRule="auto"/>
        <w:rPr>
          <w:sz w:val="20"/>
          <w:szCs w:val="20"/>
          <w:color w:val="auto"/>
        </w:rPr>
      </w:pPr>
      <w:r>
        <w:rPr>
          <w:rFonts w:ascii="Courier New" w:cs="Courier New" w:eastAsia="Courier New" w:hAnsi="Courier New"/>
          <w:sz w:val="18"/>
          <w:szCs w:val="18"/>
          <w:color w:val="auto"/>
        </w:rPr>
        <w:t>(368459)</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2620"/>
        <w:spacing w:after="0" w:line="238" w:lineRule="auto"/>
        <w:rPr>
          <w:sz w:val="20"/>
          <w:szCs w:val="20"/>
          <w:color w:val="auto"/>
        </w:rPr>
      </w:pPr>
      <w:r>
        <w:rPr>
          <w:rFonts w:ascii="Courier New" w:cs="Courier New" w:eastAsia="Courier New" w:hAnsi="Courier New"/>
          <w:sz w:val="18"/>
          <w:szCs w:val="18"/>
          <w:color w:val="auto"/>
        </w:rPr>
        <w:t>54001</w:t>
      </w:r>
    </w:p>
    <w:p>
      <w:pPr>
        <w:ind w:left="3560"/>
        <w:spacing w:after="0" w:line="238" w:lineRule="auto"/>
        <w:rPr>
          <w:sz w:val="20"/>
          <w:szCs w:val="20"/>
          <w:color w:val="auto"/>
        </w:rPr>
      </w:pPr>
      <w:r>
        <w:rPr>
          <w:rFonts w:ascii="Courier New" w:cs="Courier New" w:eastAsia="Courier New" w:hAnsi="Courier New"/>
          <w:sz w:val="18"/>
          <w:szCs w:val="18"/>
          <w:color w:val="auto"/>
        </w:rPr>
        <w:t>0</w:t>
      </w:r>
    </w:p>
    <w:p>
      <w:pPr>
        <w:ind w:left="2940"/>
        <w:spacing w:after="0" w:line="238" w:lineRule="auto"/>
        <w:rPr>
          <w:sz w:val="20"/>
          <w:szCs w:val="20"/>
          <w:color w:val="auto"/>
        </w:rPr>
      </w:pPr>
      <w:r>
        <w:rPr>
          <w:rFonts w:ascii="Courier New" w:cs="Courier New" w:eastAsia="Courier New" w:hAnsi="Courier New"/>
          <w:sz w:val="18"/>
          <w:szCs w:val="18"/>
          <w:color w:val="auto"/>
        </w:rPr>
        <w:t>961462</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593003</w:t>
      </w:r>
    </w:p>
    <w:p>
      <w:pPr>
        <w:ind w:left="3460"/>
        <w:spacing w:after="0" w:line="238" w:lineRule="auto"/>
        <w:rPr>
          <w:sz w:val="20"/>
          <w:szCs w:val="20"/>
          <w:color w:val="auto"/>
        </w:rPr>
      </w:pPr>
      <w:r>
        <w:rPr>
          <w:rFonts w:ascii="Courier New" w:cs="Courier New" w:eastAsia="Courier New" w:hAnsi="Courier New"/>
          <w:sz w:val="18"/>
          <w:szCs w:val="18"/>
          <w:color w:val="auto"/>
        </w:rPr>
        <w:t>.15</w:t>
      </w:r>
    </w:p>
    <w:p>
      <w:pPr>
        <w:ind w:left="3460"/>
        <w:spacing w:after="0" w:line="238" w:lineRule="auto"/>
        <w:rPr>
          <w:sz w:val="20"/>
          <w:szCs w:val="20"/>
          <w:color w:val="auto"/>
        </w:rPr>
      </w:pPr>
      <w:r>
        <w:rPr>
          <w:rFonts w:ascii="Courier New" w:cs="Courier New" w:eastAsia="Courier New" w:hAnsi="Courier New"/>
          <w:sz w:val="18"/>
          <w:szCs w:val="18"/>
          <w:color w:val="auto"/>
        </w:rPr>
        <w:t>.15</w:t>
      </w:r>
    </w:p>
    <w:sectPr>
      <w:pgSz w:w="11900" w:h="16838" w:orient="portrait"/>
      <w:cols w:equalWidth="0" w:num="1">
        <w:col w:w="10019"/>
      </w:cols>
      <w:pgMar w:left="440" w:top="5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C"/>
      <w:numFmt w:val="bullet"/>
      <w:start w:val="1"/>
    </w:lvl>
  </w:abstractNum>
  <w:abstractNum w:abstractNumId="2">
    <w:nsid w:val="333AB105"/>
    <w:multiLevelType w:val="hybridMultilevel"/>
    <w:lvl w:ilvl="0">
      <w:lvlJc w:val="left"/>
      <w:lvlText w:val="a"/>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a"/>
      <w:numFmt w:val="bullet"/>
      <w:start w:val="1"/>
    </w:lvl>
  </w:abstractNum>
  <w:abstractNum w:abstractNumId="5">
    <w:nsid w:val="2D1D5AE9"/>
    <w:multiLevelType w:val="hybridMultilevel"/>
    <w:lvl w:ilvl="0">
      <w:lvlJc w:val="left"/>
      <w:lvlText w:val="a"/>
      <w:numFmt w:val="bullet"/>
      <w:start w:val="1"/>
    </w:lvl>
  </w:abstractNum>
  <w:abstractNum w:abstractNumId="6">
    <w:nsid w:val="6763845E"/>
    <w:multiLevelType w:val="hybridMultilevel"/>
    <w:lvl w:ilvl="0">
      <w:lvlJc w:val="left"/>
      <w:lvlText w:val="(%1)"/>
      <w:numFmt w:val="lowerRoman"/>
      <w:start w:val="1"/>
    </w:lvl>
  </w:abstractNum>
  <w:abstractNum w:abstractNumId="7">
    <w:nsid w:val="75A2A8D4"/>
    <w:multiLevelType w:val="hybridMultilevel"/>
    <w:lvl w:ilvl="0">
      <w:lvlJc w:val="left"/>
      <w:lvlText w:val="(%1)"/>
      <w:numFmt w:val="lowerRoman"/>
      <w:start w:val="3"/>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4"/>
    </w:lvl>
  </w:abstractNum>
  <w:abstractNum w:abstractNumId="10">
    <w:nsid w:val="4353D0CD"/>
    <w:multiLevelType w:val="hybridMultilevel"/>
    <w:lvl w:ilvl="0">
      <w:lvlJc w:val="left"/>
      <w:lvlText w:val="(%1)"/>
      <w:numFmt w:val="decimal"/>
      <w:start w:val="6"/>
    </w:lvl>
  </w:abstractNum>
  <w:abstractNum w:abstractNumId="11">
    <w:nsid w:val="B03E0C6"/>
    <w:multiLevelType w:val="hybridMultilevel"/>
    <w:lvl w:ilvl="0">
      <w:lvlJc w:val="left"/>
      <w:lvlText w:val="(%1)"/>
      <w:numFmt w:val="lowerLetter"/>
      <w:start w:val="2"/>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A"/>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22221A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
    <w:nsid w:val="4516D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
    <w:nsid w:val="3006C83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7">
    <w:nsid w:val="614FD4A1"/>
    <w:multiLevelType w:val="hybridMultilevel"/>
    <w:lvl w:ilvl="0">
      <w:lvlJc w:val="left"/>
      <w:lvlText w:val="(%1)"/>
      <w:numFmt w:val="lowerRoman"/>
      <w:start w:val="2"/>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lowerRoman"/>
      <w:start w:val="1"/>
    </w:lvl>
  </w:abstractNum>
  <w:abstractNum w:abstractNumId="30">
    <w:nsid w:val="440BADFC"/>
    <w:multiLevelType w:val="hybridMultilevel"/>
    <w:lvl w:ilvl="0">
      <w:lvlJc w:val="left"/>
      <w:lvlText w:val="(%1)"/>
      <w:numFmt w:val="lowerRoman"/>
      <w:start w:val="2"/>
    </w:lvl>
  </w:abstractNum>
  <w:abstractNum w:abstractNumId="31">
    <w:nsid w:val="5072367"/>
    <w:multiLevelType w:val="hybridMultilevel"/>
    <w:lvl w:ilvl="0">
      <w:lvlJc w:val="left"/>
      <w:lvlText w:val="(%1)"/>
      <w:numFmt w:val="lowerLetter"/>
      <w:start w:val="3"/>
    </w:lvl>
  </w:abstractNum>
  <w:abstractNum w:abstractNumId="32">
    <w:nsid w:val="3804823E"/>
    <w:multiLevelType w:val="hybridMultilevel"/>
    <w:lvl w:ilvl="0">
      <w:lvlJc w:val="left"/>
      <w:lvlText w:val="(%1)"/>
      <w:numFmt w:val="lowerLetter"/>
      <w:start w:val="4"/>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2"/>
    </w:lvl>
  </w:abstractNum>
  <w:abstractNum w:abstractNumId="38">
    <w:nsid w:val="51EAD36B"/>
    <w:multiLevelType w:val="hybridMultilevel"/>
    <w:lvl w:ilvl="0">
      <w:lvlJc w:val="left"/>
      <w:lvlText w:val="%1."/>
      <w:numFmt w:val="decimal"/>
      <w:start w:val="3"/>
    </w:lvl>
  </w:abstractNum>
  <w:abstractNum w:abstractNumId="39">
    <w:nsid w:val="2D51779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2020-10-06T04:44:26Z</dcterms:created>
  <dcterms:modified xsi:type="dcterms:W3CDTF">2020-10-06T04:44:26Z</dcterms:modified>
</cp:coreProperties>
</file>