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FORM 10-QSB</w:t>
      </w:r>
    </w:p>
    <w:p>
      <w:pPr>
        <w:spacing w:after="0" w:line="238" w:lineRule="auto"/>
        <w:rPr>
          <w:sz w:val="20"/>
          <w:szCs w:val="20"/>
          <w:color w:val="auto"/>
        </w:rPr>
      </w:pPr>
      <w:r>
        <w:rPr>
          <w:rFonts w:ascii="Courier New" w:cs="Courier New" w:eastAsia="Courier New" w:hAnsi="Courier New"/>
          <w:sz w:val="18"/>
          <w:szCs w:val="18"/>
          <w:color w:val="auto"/>
        </w:rPr>
        <w:t>(Mark One)</w:t>
      </w:r>
    </w:p>
    <w:p>
      <w:pPr>
        <w:spacing w:after="0" w:line="5" w:lineRule="exact"/>
        <w:rPr>
          <w:sz w:val="24"/>
          <w:szCs w:val="24"/>
          <w:color w:val="auto"/>
        </w:rPr>
      </w:pPr>
    </w:p>
    <w:p>
      <w:pPr>
        <w:ind w:left="420" w:right="283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June 30, 1998</w:t>
      </w:r>
    </w:p>
    <w:p>
      <w:pPr>
        <w:spacing w:after="0" w:line="207" w:lineRule="exact"/>
        <w:rPr>
          <w:sz w:val="24"/>
          <w:szCs w:val="24"/>
          <w:color w:val="auto"/>
        </w:rPr>
      </w:pPr>
    </w:p>
    <w:p>
      <w:pPr>
        <w:ind w:left="540" w:right="2199" w:hanging="532"/>
        <w:spacing w:after="0" w:line="235" w:lineRule="auto"/>
        <w:tabs>
          <w:tab w:leader="none" w:pos="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6"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For the transition period from _____________ to _____________</w:t>
      </w:r>
    </w:p>
    <w:p>
      <w:pPr>
        <w:spacing w:after="0" w:line="218" w:lineRule="exact"/>
        <w:rPr>
          <w:sz w:val="24"/>
          <w:szCs w:val="24"/>
          <w:color w:val="auto"/>
        </w:rPr>
      </w:pPr>
    </w:p>
    <w:p>
      <w:pPr>
        <w:ind w:left="2000"/>
        <w:spacing w:after="0"/>
        <w:tabs>
          <w:tab w:leader="none" w:pos="46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000-21898</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INTERACTIVE INC.</w:t>
      </w:r>
    </w:p>
    <w:p>
      <w:pPr>
        <w:ind w:left="640"/>
        <w:spacing w:after="0" w:line="238" w:lineRule="auto"/>
        <w:rPr>
          <w:sz w:val="20"/>
          <w:szCs w:val="20"/>
          <w:color w:val="auto"/>
        </w:rPr>
      </w:pPr>
      <w:r>
        <w:rPr>
          <w:rFonts w:ascii="Courier New" w:cs="Courier New" w:eastAsia="Courier New" w:hAnsi="Courier New"/>
          <w:sz w:val="18"/>
          <w:szCs w:val="18"/>
          <w:color w:val="auto"/>
        </w:rPr>
        <w:t>(Exact name of small business issuer as specified in its charter)</w:t>
      </w:r>
    </w:p>
    <w:p>
      <w:pPr>
        <w:ind w:left="2540"/>
        <w:spacing w:after="0"/>
        <w:rPr>
          <w:sz w:val="20"/>
          <w:szCs w:val="20"/>
          <w:color w:val="auto"/>
        </w:rPr>
      </w:pPr>
      <w:r>
        <w:rPr>
          <w:rFonts w:ascii="Courier New" w:cs="Courier New" w:eastAsia="Courier New" w:hAnsi="Courier New"/>
          <w:sz w:val="18"/>
          <w:szCs w:val="18"/>
          <w:color w:val="auto"/>
        </w:rPr>
        <w:t>South Dakota</w:t>
      </w:r>
    </w:p>
    <w:p>
      <w:pPr>
        <w:ind w:left="960"/>
        <w:spacing w:after="0" w:line="237" w:lineRule="auto"/>
        <w:rPr>
          <w:sz w:val="20"/>
          <w:szCs w:val="20"/>
          <w:color w:val="auto"/>
        </w:rPr>
      </w:pPr>
      <w:r>
        <w:rPr>
          <w:rFonts w:ascii="Courier New" w:cs="Courier New" w:eastAsia="Courier New" w:hAnsi="Courier New"/>
          <w:sz w:val="18"/>
          <w:szCs w:val="18"/>
          <w:color w:val="auto"/>
        </w:rPr>
        <w:t>46-</w:t>
      </w:r>
    </w:p>
    <w:p>
      <w:pPr>
        <w:spacing w:after="0" w:line="238" w:lineRule="auto"/>
        <w:rPr>
          <w:sz w:val="20"/>
          <w:szCs w:val="20"/>
          <w:color w:val="auto"/>
        </w:rPr>
      </w:pPr>
      <w:r>
        <w:rPr>
          <w:rFonts w:ascii="Courier New" w:cs="Courier New" w:eastAsia="Courier New" w:hAnsi="Courier New"/>
          <w:sz w:val="18"/>
          <w:szCs w:val="18"/>
          <w:color w:val="auto"/>
        </w:rPr>
        <w:t>0408024</w:t>
      </w:r>
    </w:p>
    <w:p>
      <w:pPr>
        <w:ind w:left="420"/>
        <w:spacing w:after="0"/>
        <w:tabs>
          <w:tab w:leader="none" w:pos="5680" w:val="left"/>
        </w:tabs>
        <w:rPr>
          <w:sz w:val="20"/>
          <w:szCs w:val="20"/>
          <w:color w:val="auto"/>
        </w:rPr>
      </w:pPr>
      <w:r>
        <w:rPr>
          <w:rFonts w:ascii="Courier New" w:cs="Courier New" w:eastAsia="Courier New" w:hAnsi="Courier New"/>
          <w:sz w:val="18"/>
          <w:szCs w:val="18"/>
          <w:color w:val="auto"/>
        </w:rPr>
        <w:t>(state of incorporation or organization)</w:t>
      </w:r>
      <w:r>
        <w:rPr>
          <w:sz w:val="20"/>
          <w:szCs w:val="20"/>
          <w:color w:val="auto"/>
        </w:rPr>
        <w:tab/>
      </w:r>
      <w:r>
        <w:rPr>
          <w:rFonts w:ascii="Courier New" w:cs="Courier New" w:eastAsia="Courier New" w:hAnsi="Courier New"/>
          <w:sz w:val="16"/>
          <w:szCs w:val="16"/>
          <w:color w:val="auto"/>
        </w:rPr>
        <w:t>(IRS Employer ID No)</w:t>
      </w:r>
    </w:p>
    <w:p>
      <w:pPr>
        <w:ind w:left="3060"/>
        <w:spacing w:after="0" w:line="237" w:lineRule="auto"/>
        <w:rPr>
          <w:sz w:val="20"/>
          <w:szCs w:val="20"/>
          <w:color w:val="auto"/>
        </w:rPr>
      </w:pPr>
      <w:r>
        <w:rPr>
          <w:rFonts w:ascii="Courier New" w:cs="Courier New" w:eastAsia="Courier New" w:hAnsi="Courier New"/>
          <w:sz w:val="18"/>
          <w:szCs w:val="18"/>
          <w:color w:val="auto"/>
        </w:rPr>
        <w:t>204 N. Main, Humboldt, SD 57035</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(Address of principal executive offices)</w:t>
      </w:r>
    </w:p>
    <w:p>
      <w:pPr>
        <w:ind w:left="4120"/>
        <w:spacing w:after="0" w:line="238" w:lineRule="auto"/>
        <w:rPr>
          <w:sz w:val="20"/>
          <w:szCs w:val="20"/>
          <w:color w:val="auto"/>
        </w:rPr>
      </w:pPr>
      <w:r>
        <w:rPr>
          <w:rFonts w:ascii="Courier New" w:cs="Courier New" w:eastAsia="Courier New" w:hAnsi="Courier New"/>
          <w:sz w:val="18"/>
          <w:szCs w:val="18"/>
          <w:color w:val="auto"/>
        </w:rPr>
        <w:t>(605) 363-5117</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Issuer's telephone number</w:t>
      </w:r>
    </w:p>
    <w:p>
      <w:pPr>
        <w:ind w:left="3060"/>
        <w:spacing w:after="0" w:line="238" w:lineRule="auto"/>
        <w:rPr>
          <w:sz w:val="20"/>
          <w:szCs w:val="20"/>
          <w:color w:val="auto"/>
        </w:rPr>
      </w:pPr>
      <w:r>
        <w:rPr>
          <w:rFonts w:ascii="Courier New" w:cs="Courier New" w:eastAsia="Courier New" w:hAnsi="Courier New"/>
          <w:sz w:val="18"/>
          <w:szCs w:val="18"/>
          <w:color w:val="auto"/>
        </w:rPr>
        <w:t>N/A</w:t>
      </w:r>
    </w:p>
    <w:p>
      <w:pPr>
        <w:spacing w:after="0" w:line="5" w:lineRule="exact"/>
        <w:rPr>
          <w:sz w:val="24"/>
          <w:szCs w:val="24"/>
          <w:color w:val="auto"/>
        </w:rPr>
      </w:pPr>
    </w:p>
    <w:p>
      <w:pPr>
        <w:ind w:left="120" w:right="2419" w:hanging="104"/>
        <w:spacing w:after="0" w:line="235" w:lineRule="auto"/>
        <w:rPr>
          <w:sz w:val="20"/>
          <w:szCs w:val="20"/>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8" w:lineRule="exact"/>
        <w:rPr>
          <w:sz w:val="24"/>
          <w:szCs w:val="24"/>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w:t>
      </w:r>
    </w:p>
    <w:p>
      <w:pPr>
        <w:ind w:left="2320"/>
        <w:spacing w:after="0"/>
        <w:tabs>
          <w:tab w:leader="none" w:pos="3560" w:val="left"/>
        </w:tabs>
        <w:rPr>
          <w:sz w:val="20"/>
          <w:szCs w:val="20"/>
          <w:color w:val="auto"/>
        </w:rPr>
      </w:pPr>
      <w:r>
        <w:rPr>
          <w:rFonts w:ascii="Courier New" w:cs="Courier New" w:eastAsia="Courier New" w:hAnsi="Courier New"/>
          <w:sz w:val="18"/>
          <w:szCs w:val="18"/>
          <w:color w:val="auto"/>
        </w:rPr>
        <w:t>Yes . . .</w:t>
      </w:r>
      <w:r>
        <w:rPr>
          <w:sz w:val="20"/>
          <w:szCs w:val="20"/>
          <w:color w:val="auto"/>
        </w:rPr>
        <w:tab/>
      </w:r>
      <w:r>
        <w:rPr>
          <w:rFonts w:ascii="Courier New" w:cs="Courier New" w:eastAsia="Courier New" w:hAnsi="Courier New"/>
          <w:sz w:val="16"/>
          <w:szCs w:val="16"/>
          <w:color w:val="auto"/>
        </w:rPr>
        <w:t>No .X. .</w:t>
      </w:r>
    </w:p>
    <w:p>
      <w:pPr>
        <w:spacing w:after="0" w:line="207" w:lineRule="exact"/>
        <w:rPr>
          <w:sz w:val="24"/>
          <w:szCs w:val="24"/>
          <w:color w:val="auto"/>
        </w:rPr>
      </w:pPr>
    </w:p>
    <w:p>
      <w:pPr>
        <w:ind w:left="1700" w:right="3579" w:hanging="210"/>
        <w:spacing w:after="0" w:line="268" w:lineRule="auto"/>
        <w:rPr>
          <w:sz w:val="20"/>
          <w:szCs w:val="20"/>
          <w:color w:val="auto"/>
        </w:rPr>
      </w:pPr>
      <w:r>
        <w:rPr>
          <w:rFonts w:ascii="Courier New" w:cs="Courier New" w:eastAsia="Courier New" w:hAnsi="Courier New"/>
          <w:sz w:val="16"/>
          <w:szCs w:val="16"/>
          <w:color w:val="auto"/>
        </w:rPr>
        <w:t>APPLICABLE ONLY TO ISSUERS INVOLVED IN BANKRUPTCY PROCEEDINGS DURING THE PRECEDING FIVE YEARS</w:t>
      </w:r>
    </w:p>
    <w:p>
      <w:pPr>
        <w:jc w:val="both"/>
        <w:ind w:right="2319"/>
        <w:spacing w:after="0" w:line="279" w:lineRule="auto"/>
        <w:rPr>
          <w:sz w:val="20"/>
          <w:szCs w:val="20"/>
          <w:color w:val="auto"/>
        </w:rPr>
      </w:pPr>
      <w:r>
        <w:rPr>
          <w:rFonts w:ascii="Courier New" w:cs="Courier New" w:eastAsia="Courier New" w:hAnsi="Courier New"/>
          <w:sz w:val="16"/>
          <w:szCs w:val="16"/>
          <w:color w:val="auto"/>
        </w:rPr>
        <w:t>Check whether the registrant filed all documents and reports required to be filed by Section 12, 13 or 15(d) of the Exchange Act after the distribution of securities under a plan confirmed by a court. Yes . . . No .X .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3680" w:type="dxa"/>
            <w:vAlign w:val="bottom"/>
          </w:tcPr>
          <w:p>
            <w:pPr>
              <w:jc w:val="right"/>
              <w:spacing w:after="0"/>
              <w:rPr>
                <w:sz w:val="20"/>
                <w:szCs w:val="20"/>
                <w:color w:val="auto"/>
              </w:rPr>
            </w:pPr>
            <w:r>
              <w:rPr>
                <w:rFonts w:ascii="Courier New" w:cs="Courier New" w:eastAsia="Courier New" w:hAnsi="Courier New"/>
                <w:sz w:val="18"/>
                <w:szCs w:val="18"/>
                <w:color w:val="auto"/>
              </w:rPr>
              <w:t>APPLICABLE ONLY TO</w:t>
            </w:r>
          </w:p>
        </w:tc>
        <w:tc>
          <w:tcPr>
            <w:tcW w:w="3380" w:type="dxa"/>
            <w:vAlign w:val="bottom"/>
            <w:gridSpan w:val="2"/>
          </w:tcPr>
          <w:p>
            <w:pPr>
              <w:jc w:val="right"/>
              <w:ind w:right="1452"/>
              <w:spacing w:after="0"/>
              <w:rPr>
                <w:sz w:val="20"/>
                <w:szCs w:val="20"/>
                <w:color w:val="auto"/>
              </w:rPr>
            </w:pPr>
            <w:r>
              <w:rPr>
                <w:rFonts w:ascii="Courier New" w:cs="Courier New" w:eastAsia="Courier New" w:hAnsi="Courier New"/>
                <w:sz w:val="18"/>
                <w:szCs w:val="18"/>
                <w:color w:val="auto"/>
                <w:w w:val="99"/>
              </w:rPr>
              <w:t>CORPORATE ISSUERS</w:t>
            </w:r>
          </w:p>
        </w:tc>
        <w:tc>
          <w:tcPr>
            <w:tcW w:w="7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 the number of shares outstanding</w:t>
            </w: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of each of the issuer's classes</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5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 equity, as of the latest practicable date:</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3,265,976 shares</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at June</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30,</w:t>
            </w:r>
          </w:p>
        </w:tc>
        <w:tc>
          <w:tcPr>
            <w:tcW w:w="3680" w:type="dxa"/>
            <w:vAlign w:val="bottom"/>
          </w:tcPr>
          <w:p>
            <w:pPr>
              <w:jc w:val="right"/>
              <w:ind w:right="3112"/>
              <w:spacing w:after="0" w:line="203" w:lineRule="exact"/>
              <w:rPr>
                <w:sz w:val="20"/>
                <w:szCs w:val="20"/>
                <w:color w:val="auto"/>
              </w:rPr>
            </w:pPr>
            <w:r>
              <w:rPr>
                <w:rFonts w:ascii="Courier New" w:cs="Courier New" w:eastAsia="Courier New" w:hAnsi="Courier New"/>
                <w:sz w:val="18"/>
                <w:szCs w:val="18"/>
                <w:color w:val="auto"/>
              </w:rPr>
              <w:t>1998</w:t>
            </w: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w w:val="98"/>
              </w:rPr>
              <w:t>Transitional Small Business Disclosure</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Format (Check one): Yes   No  X</w:t>
            </w:r>
          </w:p>
        </w:tc>
        <w:tc>
          <w:tcPr>
            <w:tcW w:w="780" w:type="dxa"/>
            <w:vAlign w:val="bottom"/>
          </w:tcPr>
          <w:p>
            <w:pPr>
              <w:spacing w:after="0"/>
              <w:rPr>
                <w:sz w:val="24"/>
                <w:szCs w:val="24"/>
                <w:color w:val="auto"/>
              </w:rPr>
            </w:pPr>
          </w:p>
        </w:tc>
      </w:tr>
    </w:tbl>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ind w:left="2740"/>
        <w:spacing w:after="0" w:line="238" w:lineRule="auto"/>
        <w:rPr>
          <w:sz w:val="20"/>
          <w:szCs w:val="20"/>
          <w:color w:val="auto"/>
        </w:rPr>
      </w:pPr>
      <w:r>
        <w:rPr>
          <w:rFonts w:ascii="Courier New" w:cs="Courier New" w:eastAsia="Courier New" w:hAnsi="Courier New"/>
          <w:sz w:val="18"/>
          <w:szCs w:val="18"/>
          <w:color w:val="auto"/>
        </w:rPr>
        <w:t>PART 1. FINANCIAL INFORMATION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 (unaudited)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ind w:left="7180"/>
        <w:spacing w:after="0" w:line="238" w:lineRule="auto"/>
        <w:rPr>
          <w:sz w:val="20"/>
          <w:szCs w:val="20"/>
          <w:color w:val="auto"/>
        </w:rPr>
      </w:pPr>
      <w:r>
        <w:rPr>
          <w:rFonts w:ascii="Courier New" w:cs="Courier New" w:eastAsia="Courier New" w:hAnsi="Courier New"/>
          <w:sz w:val="18"/>
          <w:szCs w:val="18"/>
          <w:color w:val="auto"/>
        </w:rPr>
        <w:t>____</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Balance Sheet as of June 30, 1998</w:t>
      </w:r>
    </w:p>
    <w:p>
      <w:pPr>
        <w:ind w:left="1580"/>
        <w:spacing w:after="0" w:line="238" w:lineRule="auto"/>
        <w:rPr>
          <w:sz w:val="20"/>
          <w:szCs w:val="20"/>
          <w:color w:val="auto"/>
        </w:rPr>
      </w:pPr>
      <w:r>
        <w:rPr>
          <w:rFonts w:ascii="Courier New" w:cs="Courier New" w:eastAsia="Courier New" w:hAnsi="Courier New"/>
          <w:sz w:val="18"/>
          <w:szCs w:val="18"/>
          <w:color w:val="auto"/>
        </w:rPr>
        <w:t>3</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Statements of Operations for Nine and Three Months Ended</w:t>
      </w:r>
    </w:p>
    <w:tbl>
      <w:tblPr>
        <w:tblLayout w:type="fixed"/>
        <w:tblInd w:w="0" w:type="dxa"/>
        <w:tblCellMar>
          <w:top w:w="0" w:type="dxa"/>
          <w:left w:w="0" w:type="dxa"/>
          <w:bottom w:w="0" w:type="dxa"/>
          <w:right w:w="0" w:type="dxa"/>
        </w:tblCellMar>
      </w:tblP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June 30, 1998 and 1997</w:t>
            </w:r>
          </w:p>
        </w:tc>
        <w:tc>
          <w:tcPr>
            <w:tcW w:w="378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3780" w:type="dxa"/>
            <w:vAlign w:val="bottom"/>
          </w:tcPr>
          <w:p>
            <w:pPr>
              <w:spacing w:after="0"/>
              <w:rPr>
                <w:sz w:val="24"/>
                <w:szCs w:val="24"/>
                <w:color w:val="auto"/>
              </w:rPr>
            </w:pPr>
          </w:p>
        </w:tc>
      </w:tr>
      <w:tr>
        <w:trPr>
          <w:trHeight w:val="405"/>
        </w:trPr>
        <w:tc>
          <w:tcPr>
            <w:tcW w:w="4120" w:type="dxa"/>
            <w:vAlign w:val="bottom"/>
          </w:tcPr>
          <w:p>
            <w:pPr>
              <w:ind w:left="220"/>
              <w:spacing w:after="0"/>
              <w:rPr>
                <w:sz w:val="20"/>
                <w:szCs w:val="20"/>
                <w:color w:val="auto"/>
              </w:rPr>
            </w:pPr>
            <w:r>
              <w:rPr>
                <w:rFonts w:ascii="Courier New" w:cs="Courier New" w:eastAsia="Courier New" w:hAnsi="Courier New"/>
                <w:sz w:val="18"/>
                <w:szCs w:val="18"/>
                <w:color w:val="auto"/>
                <w:w w:val="97"/>
              </w:rPr>
              <w:t>Statement of Stockholders' Equity for</w:t>
            </w:r>
          </w:p>
        </w:tc>
        <w:tc>
          <w:tcPr>
            <w:tcW w:w="3780" w:type="dxa"/>
            <w:vAlign w:val="bottom"/>
          </w:tcPr>
          <w:p>
            <w:pPr>
              <w:spacing w:after="0"/>
              <w:rPr>
                <w:sz w:val="24"/>
                <w:szCs w:val="24"/>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Nine Months Ended June 30, 1998</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4120" w:type="dxa"/>
            <w:vAlign w:val="bottom"/>
          </w:tcPr>
          <w:p>
            <w:pPr>
              <w:ind w:left="220"/>
              <w:spacing w:after="0"/>
              <w:rPr>
                <w:sz w:val="20"/>
                <w:szCs w:val="20"/>
                <w:color w:val="auto"/>
              </w:rPr>
            </w:pPr>
            <w:r>
              <w:rPr>
                <w:rFonts w:ascii="Courier New" w:cs="Courier New" w:eastAsia="Courier New" w:hAnsi="Courier New"/>
                <w:sz w:val="18"/>
                <w:szCs w:val="18"/>
                <w:color w:val="auto"/>
              </w:rPr>
              <w:t>Statements of Cash Flows for the</w:t>
            </w:r>
          </w:p>
        </w:tc>
        <w:tc>
          <w:tcPr>
            <w:tcW w:w="3780" w:type="dxa"/>
            <w:vAlign w:val="bottom"/>
          </w:tcPr>
          <w:p>
            <w:pPr>
              <w:spacing w:after="0"/>
              <w:rPr>
                <w:sz w:val="24"/>
                <w:szCs w:val="24"/>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Nine Months Ended June 30, 1998</w:t>
            </w:r>
          </w:p>
        </w:tc>
        <w:tc>
          <w:tcPr>
            <w:tcW w:w="3780" w:type="dxa"/>
            <w:vAlign w:val="bottom"/>
          </w:tcPr>
          <w:p>
            <w:pPr>
              <w:jc w:val="right"/>
              <w:ind w:right="2852"/>
              <w:spacing w:after="0" w:line="203" w:lineRule="exact"/>
              <w:rPr>
                <w:sz w:val="20"/>
                <w:szCs w:val="20"/>
                <w:color w:val="auto"/>
              </w:rPr>
            </w:pPr>
            <w:r>
              <w:rPr>
                <w:rFonts w:ascii="Courier New" w:cs="Courier New" w:eastAsia="Courier New" w:hAnsi="Courier New"/>
                <w:sz w:val="18"/>
                <w:szCs w:val="18"/>
                <w:color w:val="auto"/>
                <w:w w:val="94"/>
              </w:rPr>
              <w:t>and 1997</w:t>
            </w:r>
          </w:p>
        </w:tc>
      </w:tr>
      <w:tr>
        <w:trPr>
          <w:trHeight w:val="405"/>
        </w:trPr>
        <w:tc>
          <w:tcPr>
            <w:tcW w:w="4120" w:type="dxa"/>
            <w:vAlign w:val="bottom"/>
          </w:tcPr>
          <w:p>
            <w:pPr>
              <w:ind w:left="120"/>
              <w:spacing w:after="0"/>
              <w:rPr>
                <w:sz w:val="20"/>
                <w:szCs w:val="20"/>
                <w:color w:val="auto"/>
              </w:rPr>
            </w:pPr>
            <w:r>
              <w:rPr>
                <w:rFonts w:ascii="Courier New" w:cs="Courier New" w:eastAsia="Courier New" w:hAnsi="Courier New"/>
                <w:sz w:val="18"/>
                <w:szCs w:val="18"/>
                <w:color w:val="auto"/>
              </w:rPr>
              <w:t>6</w:t>
            </w:r>
          </w:p>
        </w:tc>
        <w:tc>
          <w:tcPr>
            <w:tcW w:w="3780" w:type="dxa"/>
            <w:vAlign w:val="bottom"/>
          </w:tcPr>
          <w:p>
            <w:pPr>
              <w:spacing w:after="0"/>
              <w:rPr>
                <w:sz w:val="24"/>
                <w:szCs w:val="24"/>
                <w:color w:val="auto"/>
              </w:rPr>
            </w:pPr>
          </w:p>
        </w:tc>
      </w:tr>
    </w:tbl>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Notes to Financial Statements</w:t>
      </w:r>
    </w:p>
    <w:p>
      <w:pPr>
        <w:ind w:left="1060"/>
        <w:spacing w:after="0" w:line="238" w:lineRule="auto"/>
        <w:rPr>
          <w:sz w:val="20"/>
          <w:szCs w:val="20"/>
          <w:color w:val="auto"/>
        </w:rPr>
      </w:pPr>
      <w:r>
        <w:rPr>
          <w:rFonts w:ascii="Courier New" w:cs="Courier New" w:eastAsia="Courier New" w:hAnsi="Courier New"/>
          <w:sz w:val="18"/>
          <w:szCs w:val="18"/>
          <w:color w:val="auto"/>
        </w:rPr>
        <w:t>7</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w:t>
      </w:r>
    </w:p>
    <w:p>
      <w:pPr>
        <w:ind w:left="960"/>
        <w:spacing w:after="0" w:line="238" w:lineRule="auto"/>
        <w:rPr>
          <w:sz w:val="20"/>
          <w:szCs w:val="20"/>
          <w:color w:val="auto"/>
        </w:rPr>
      </w:pPr>
      <w:r>
        <w:rPr>
          <w:rFonts w:ascii="Courier New" w:cs="Courier New" w:eastAsia="Courier New" w:hAnsi="Courier New"/>
          <w:sz w:val="18"/>
          <w:szCs w:val="18"/>
          <w:color w:val="auto"/>
        </w:rPr>
        <w:t>and Results of Operations</w:t>
      </w:r>
    </w:p>
    <w:p>
      <w:pPr>
        <w:ind w:left="2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PART 2.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ind w:left="2000"/>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ind w:left="2000"/>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ind w:left="960"/>
        <w:spacing w:after="0" w:line="238" w:lineRule="auto"/>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4. Submission of Matters to a Vote of Security Holders 11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ind w:left="2000"/>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ind w:left="960"/>
        <w:spacing w:after="0" w:line="238" w:lineRule="auto"/>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020" w:type="dxa"/>
            <w:vAlign w:val="bottom"/>
          </w:tcPr>
          <w:p>
            <w:pPr>
              <w:ind w:left="120"/>
              <w:spacing w:after="0"/>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INTERACTIVE INC.</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ind w:left="3280"/>
              <w:spacing w:after="0" w:line="203" w:lineRule="exact"/>
              <w:rPr>
                <w:sz w:val="20"/>
                <w:szCs w:val="20"/>
                <w:color w:val="auto"/>
              </w:rPr>
            </w:pPr>
            <w:r>
              <w:rPr>
                <w:rFonts w:ascii="Courier New" w:cs="Courier New" w:eastAsia="Courier New" w:hAnsi="Courier New"/>
                <w:sz w:val="18"/>
                <w:szCs w:val="18"/>
                <w:color w:val="auto"/>
              </w:rPr>
              <w:t>BALANCE SHEETS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ind w:left="3280"/>
              <w:spacing w:after="0" w:line="203" w:lineRule="exact"/>
              <w:rPr>
                <w:sz w:val="20"/>
                <w:szCs w:val="20"/>
                <w:color w:val="auto"/>
              </w:rPr>
            </w:pPr>
            <w:r>
              <w:rPr>
                <w:rFonts w:ascii="Courier New" w:cs="Courier New" w:eastAsia="Courier New" w:hAnsi="Courier New"/>
                <w:sz w:val="18"/>
                <w:szCs w:val="18"/>
                <w:color w:val="auto"/>
              </w:rPr>
              <w:t>June 30, 1998</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9/30/97</w:t>
            </w:r>
          </w:p>
        </w:tc>
      </w:tr>
      <w:tr>
        <w:trPr>
          <w:trHeight w:val="203"/>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_____________</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2,278</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1,165</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4,089</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10,418</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23,939</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21,713</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800</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800</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______________</w:t>
            </w: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31,106</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34,096</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______________</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1,962</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 and improvements</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84,962</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84,962</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Computer and office equipment</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54,246</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54,246</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______________</w:t>
            </w:r>
          </w:p>
        </w:tc>
      </w:tr>
      <w:tr>
        <w:trPr>
          <w:trHeight w:val="203"/>
        </w:trPr>
        <w:tc>
          <w:tcPr>
            <w:tcW w:w="5020" w:type="dxa"/>
            <w:vAlign w:val="bottom"/>
          </w:tcPr>
          <w:p>
            <w:pPr>
              <w:spacing w:after="0"/>
              <w:rPr>
                <w:sz w:val="17"/>
                <w:szCs w:val="17"/>
                <w:color w:val="auto"/>
              </w:rPr>
            </w:pP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141,170</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141,170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88,282</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77,032</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______________</w:t>
            </w:r>
          </w:p>
        </w:tc>
      </w:tr>
      <w:tr>
        <w:trPr>
          <w:trHeight w:val="203"/>
        </w:trPr>
        <w:tc>
          <w:tcPr>
            <w:tcW w:w="5020" w:type="dxa"/>
            <w:vAlign w:val="bottom"/>
          </w:tcPr>
          <w:p>
            <w:pPr>
              <w:spacing w:after="0"/>
              <w:rPr>
                <w:sz w:val="17"/>
                <w:szCs w:val="17"/>
                <w:color w:val="auto"/>
              </w:rPr>
            </w:pP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52,888</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64,138</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______________</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at cost</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253,971</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253,971</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247,010</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244,526</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______________</w:t>
            </w:r>
          </w:p>
        </w:tc>
      </w:tr>
      <w:tr>
        <w:trPr>
          <w:trHeight w:val="203"/>
        </w:trPr>
        <w:tc>
          <w:tcPr>
            <w:tcW w:w="5020" w:type="dxa"/>
            <w:vAlign w:val="bottom"/>
          </w:tcPr>
          <w:p>
            <w:pPr>
              <w:spacing w:after="0"/>
              <w:rPr>
                <w:sz w:val="17"/>
                <w:szCs w:val="17"/>
                <w:color w:val="auto"/>
              </w:rPr>
            </w:pP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6,961</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9,445</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______________</w:t>
            </w:r>
          </w:p>
        </w:tc>
      </w:tr>
      <w:tr>
        <w:trPr>
          <w:trHeight w:val="203"/>
        </w:trPr>
        <w:tc>
          <w:tcPr>
            <w:tcW w:w="5020" w:type="dxa"/>
            <w:vAlign w:val="bottom"/>
          </w:tcPr>
          <w:p>
            <w:pPr>
              <w:spacing w:after="0"/>
              <w:rPr>
                <w:sz w:val="17"/>
                <w:szCs w:val="17"/>
                <w:color w:val="auto"/>
              </w:rPr>
            </w:pP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90,955</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107,679</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______________</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______________</w:t>
            </w:r>
          </w:p>
        </w:tc>
      </w:tr>
      <w:tr>
        <w:trPr>
          <w:trHeight w:val="405"/>
        </w:trPr>
        <w:tc>
          <w:tcPr>
            <w:tcW w:w="50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LIABILITIES AND STOCKHOLDERS' EQUITY</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bank</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213,500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related parties</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758,500</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545,000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265,936</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265,436</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1,131,293</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1,119,092</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Torrey Pines Research, Inc.</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296,297</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296,297</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196,151</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244,526</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_____________</w:t>
            </w:r>
          </w:p>
        </w:tc>
      </w:tr>
      <w:tr>
        <w:trPr>
          <w:trHeight w:val="203"/>
        </w:trPr>
        <w:tc>
          <w:tcPr>
            <w:tcW w:w="5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2,648,177</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2,683,851</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_____________</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020" w:type="dxa"/>
            <w:vAlign w:val="bottom"/>
          </w:tcPr>
          <w:p>
            <w:pPr>
              <w:spacing w:after="0"/>
              <w:rPr>
                <w:sz w:val="17"/>
                <w:szCs w:val="17"/>
                <w:color w:val="auto"/>
              </w:rPr>
            </w:pP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311,435</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265,436</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current maturities</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(265,936)</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(265,436)</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_____________</w:t>
            </w:r>
          </w:p>
        </w:tc>
      </w:tr>
      <w:tr>
        <w:trPr>
          <w:trHeight w:val="203"/>
        </w:trPr>
        <w:tc>
          <w:tcPr>
            <w:tcW w:w="5020" w:type="dxa"/>
            <w:vAlign w:val="bottom"/>
          </w:tcPr>
          <w:p>
            <w:pPr>
              <w:spacing w:after="0"/>
              <w:rPr>
                <w:sz w:val="17"/>
                <w:szCs w:val="17"/>
                <w:color w:val="auto"/>
              </w:rPr>
            </w:pP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45,499</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_____________</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Series A preferred stock, par value $.001 per share; authorized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5,000,000 shares; issued 113,901 shares</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114</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par value $.001 per share;</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authorized 10,000,000 shares:  issued 3,265,976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3,266</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3,191</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3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6,834,594</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6,834,594</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(9,440,695)</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(9,414,071)</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_____________</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 (2,602,721)</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(2,576,172)</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_____________</w:t>
            </w:r>
          </w:p>
        </w:tc>
      </w:tr>
      <w:tr>
        <w:trPr>
          <w:trHeight w:val="203"/>
        </w:trPr>
        <w:tc>
          <w:tcPr>
            <w:tcW w:w="5020" w:type="dxa"/>
            <w:vAlign w:val="bottom"/>
          </w:tcPr>
          <w:p>
            <w:pPr>
              <w:spacing w:after="0"/>
              <w:rPr>
                <w:sz w:val="17"/>
                <w:szCs w:val="17"/>
                <w:color w:val="auto"/>
              </w:rPr>
            </w:pP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90,955</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107,679</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_____________</w:t>
            </w:r>
          </w:p>
        </w:tc>
      </w:tr>
      <w:tr>
        <w:trPr>
          <w:trHeight w:val="203"/>
        </w:trPr>
        <w:tc>
          <w:tcPr>
            <w:tcW w:w="5020" w:type="dxa"/>
            <w:vAlign w:val="bottom"/>
          </w:tcPr>
          <w:p>
            <w:pPr>
              <w:spacing w:after="0"/>
              <w:rPr>
                <w:sz w:val="17"/>
                <w:szCs w:val="17"/>
                <w:color w:val="auto"/>
              </w:rPr>
            </w:pPr>
          </w:p>
        </w:tc>
        <w:tc>
          <w:tcPr>
            <w:tcW w:w="1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_____________</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_____________</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Notes to Financial Statements.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2480" w:type="dxa"/>
            <w:vAlign w:val="bottom"/>
            <w:gridSpan w:val="4"/>
          </w:tcPr>
          <w:p>
            <w:pPr>
              <w:jc w:val="center"/>
              <w:ind w:right="512"/>
              <w:spacing w:after="0" w:line="203" w:lineRule="exact"/>
              <w:rPr>
                <w:sz w:val="20"/>
                <w:szCs w:val="20"/>
                <w:color w:val="auto"/>
              </w:rPr>
            </w:pPr>
            <w:r>
              <w:rPr>
                <w:rFonts w:ascii="Courier New" w:cs="Courier New" w:eastAsia="Courier New" w:hAnsi="Courier New"/>
                <w:sz w:val="18"/>
                <w:szCs w:val="18"/>
                <w:color w:val="auto"/>
                <w:w w:val="97"/>
              </w:rPr>
              <w:t>INTERACTIVE INC.</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440" w:type="dxa"/>
            <w:vAlign w:val="bottom"/>
            <w:gridSpan w:val="5"/>
          </w:tcPr>
          <w:p>
            <w:pPr>
              <w:jc w:val="center"/>
              <w:ind w:left="2272"/>
              <w:spacing w:after="0"/>
              <w:rPr>
                <w:sz w:val="20"/>
                <w:szCs w:val="20"/>
                <w:color w:val="auto"/>
              </w:rPr>
            </w:pPr>
            <w:r>
              <w:rPr>
                <w:rFonts w:ascii="Courier New" w:cs="Courier New" w:eastAsia="Courier New" w:hAnsi="Courier New"/>
                <w:sz w:val="18"/>
                <w:szCs w:val="18"/>
                <w:color w:val="auto"/>
                <w:w w:val="97"/>
              </w:rPr>
              <w:t>STATEMENTS OF OPERATIONS</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Nine and Three</w:t>
            </w:r>
          </w:p>
        </w:tc>
        <w:tc>
          <w:tcPr>
            <w:tcW w:w="4160" w:type="dxa"/>
            <w:vAlign w:val="bottom"/>
            <w:gridSpan w:val="6"/>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Months Ended June 30, 1998 and 1997</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5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440" w:type="dxa"/>
            <w:vAlign w:val="bottom"/>
            <w:gridSpan w:val="5"/>
          </w:tcPr>
          <w:p>
            <w:pPr>
              <w:jc w:val="center"/>
              <w:ind w:left="2292"/>
              <w:spacing w:after="0"/>
              <w:rPr>
                <w:sz w:val="20"/>
                <w:szCs w:val="20"/>
                <w:color w:val="auto"/>
              </w:rPr>
            </w:pPr>
            <w:r>
              <w:rPr>
                <w:rFonts w:ascii="Courier New" w:cs="Courier New" w:eastAsia="Courier New" w:hAnsi="Courier New"/>
                <w:sz w:val="18"/>
                <w:szCs w:val="18"/>
                <w:color w:val="auto"/>
                <w:w w:val="97"/>
              </w:rPr>
              <w:t>Nine months ended June 30,</w:t>
            </w:r>
          </w:p>
        </w:tc>
        <w:tc>
          <w:tcPr>
            <w:tcW w:w="29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Three months ended June 30,</w:t>
            </w:r>
          </w:p>
        </w:tc>
      </w:tr>
      <w:tr>
        <w:trPr>
          <w:trHeight w:val="203"/>
        </w:trPr>
        <w:tc>
          <w:tcPr>
            <w:tcW w:w="544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__________________________</w:t>
            </w: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___________________________</w:t>
            </w:r>
          </w:p>
        </w:tc>
      </w:tr>
      <w:tr>
        <w:trPr>
          <w:trHeight w:val="203"/>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1998</w:t>
            </w:r>
          </w:p>
        </w:tc>
        <w:tc>
          <w:tcPr>
            <w:tcW w:w="320" w:type="dxa"/>
            <w:vAlign w:val="bottom"/>
          </w:tcPr>
          <w:p>
            <w:pPr>
              <w:spacing w:after="0"/>
              <w:rPr>
                <w:sz w:val="17"/>
                <w:szCs w:val="17"/>
                <w:color w:val="auto"/>
              </w:rPr>
            </w:pPr>
          </w:p>
        </w:tc>
        <w:tc>
          <w:tcPr>
            <w:tcW w:w="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68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26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1997</w:t>
            </w:r>
          </w:p>
        </w:tc>
      </w:tr>
      <w:tr>
        <w:trPr>
          <w:trHeight w:val="203"/>
        </w:trPr>
        <w:tc>
          <w:tcPr>
            <w:tcW w:w="2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__________</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49,523</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61,608</w:t>
            </w:r>
          </w:p>
        </w:tc>
        <w:tc>
          <w:tcPr>
            <w:tcW w:w="68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9,746</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19,167</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Cost of goods sold, exclusive</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of depreciation and amortization</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shown separately below</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27,266</w:t>
            </w:r>
          </w:p>
        </w:tc>
        <w:tc>
          <w:tcPr>
            <w:tcW w:w="3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28,894</w:t>
            </w:r>
          </w:p>
        </w:tc>
        <w:tc>
          <w:tcPr>
            <w:tcW w:w="6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7,675</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9,271</w:t>
            </w:r>
          </w:p>
        </w:tc>
      </w:tr>
      <w:tr>
        <w:trPr>
          <w:trHeight w:val="203"/>
        </w:trPr>
        <w:tc>
          <w:tcPr>
            <w:tcW w:w="2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___________</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w:t>
            </w:r>
          </w:p>
        </w:tc>
      </w:tr>
      <w:tr>
        <w:trPr>
          <w:trHeight w:val="203"/>
        </w:trPr>
        <w:tc>
          <w:tcPr>
            <w:tcW w:w="29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Gross profit</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22,257</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32,714</w:t>
            </w:r>
          </w:p>
        </w:tc>
        <w:tc>
          <w:tcPr>
            <w:tcW w:w="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2,071</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9,896</w:t>
            </w:r>
          </w:p>
        </w:tc>
      </w:tr>
      <w:tr>
        <w:trPr>
          <w:trHeight w:val="203"/>
        </w:trPr>
        <w:tc>
          <w:tcPr>
            <w:tcW w:w="2960" w:type="dxa"/>
            <w:vAlign w:val="bottom"/>
          </w:tcPr>
          <w:p>
            <w:pPr>
              <w:spacing w:after="0"/>
              <w:rPr>
                <w:sz w:val="17"/>
                <w:szCs w:val="17"/>
                <w:color w:val="auto"/>
              </w:rPr>
            </w:pPr>
          </w:p>
        </w:tc>
        <w:tc>
          <w:tcPr>
            <w:tcW w:w="2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___________ ___________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24,963</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50,983</w:t>
            </w:r>
          </w:p>
        </w:tc>
        <w:tc>
          <w:tcPr>
            <w:tcW w:w="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(2,847)</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10,618</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Support and production</w:t>
            </w:r>
          </w:p>
        </w:tc>
        <w:tc>
          <w:tcPr>
            <w:tcW w:w="3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(4,013)</w:t>
            </w:r>
          </w:p>
        </w:tc>
        <w:tc>
          <w:tcPr>
            <w:tcW w:w="3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3,850</w:t>
            </w:r>
          </w:p>
        </w:tc>
        <w:tc>
          <w:tcPr>
            <w:tcW w:w="6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(5,577)</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1,009</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General and administrative</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9,537</w:t>
            </w:r>
          </w:p>
        </w:tc>
        <w:tc>
          <w:tcPr>
            <w:tcW w:w="3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9,176</w:t>
            </w:r>
          </w:p>
        </w:tc>
        <w:tc>
          <w:tcPr>
            <w:tcW w:w="6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3,653</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1,803</w:t>
            </w:r>
          </w:p>
        </w:tc>
      </w:tr>
      <w:tr>
        <w:trPr>
          <w:trHeight w:val="203"/>
        </w:trPr>
        <w:tc>
          <w:tcPr>
            <w:tcW w:w="3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Depreciation and amortization</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13,734</w:t>
            </w:r>
          </w:p>
        </w:tc>
        <w:tc>
          <w:tcPr>
            <w:tcW w:w="3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77,833</w:t>
            </w:r>
          </w:p>
        </w:tc>
        <w:tc>
          <w:tcPr>
            <w:tcW w:w="6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4,578</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25,924</w:t>
            </w:r>
          </w:p>
        </w:tc>
      </w:tr>
      <w:tr>
        <w:trPr>
          <w:trHeight w:val="203"/>
        </w:trPr>
        <w:tc>
          <w:tcPr>
            <w:tcW w:w="2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___________</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w:t>
            </w:r>
          </w:p>
        </w:tc>
      </w:tr>
      <w:tr>
        <w:trPr>
          <w:trHeight w:val="203"/>
        </w:trPr>
        <w:tc>
          <w:tcPr>
            <w:tcW w:w="296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44,221</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141,842</w:t>
            </w:r>
          </w:p>
        </w:tc>
        <w:tc>
          <w:tcPr>
            <w:tcW w:w="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39,354</w:t>
            </w:r>
          </w:p>
        </w:tc>
      </w:tr>
      <w:tr>
        <w:trPr>
          <w:trHeight w:val="203"/>
        </w:trPr>
        <w:tc>
          <w:tcPr>
            <w:tcW w:w="2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___________</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w:t>
            </w:r>
          </w:p>
        </w:tc>
      </w:tr>
      <w:tr>
        <w:trPr>
          <w:trHeight w:val="405"/>
        </w:trPr>
        <w:tc>
          <w:tcPr>
            <w:tcW w:w="29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18"/>
                <w:szCs w:val="18"/>
                <w:color w:val="auto"/>
                <w:w w:val="99"/>
              </w:rPr>
              <w:t>___________</w:t>
            </w:r>
          </w:p>
        </w:tc>
        <w:tc>
          <w:tcPr>
            <w:tcW w:w="1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___________</w:t>
            </w:r>
          </w:p>
        </w:tc>
        <w:tc>
          <w:tcPr>
            <w:tcW w:w="16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___________</w:t>
            </w:r>
          </w:p>
        </w:tc>
      </w:tr>
      <w:tr>
        <w:trPr>
          <w:trHeight w:val="203"/>
        </w:trPr>
        <w:tc>
          <w:tcPr>
            <w:tcW w:w="29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Operating Loss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(21,964)</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(109,128)</w:t>
            </w:r>
          </w:p>
        </w:tc>
        <w:tc>
          <w:tcPr>
            <w:tcW w:w="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2,264</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(29,458)</w:t>
            </w:r>
          </w:p>
        </w:tc>
      </w:tr>
      <w:tr>
        <w:trPr>
          <w:trHeight w:val="203"/>
        </w:trPr>
        <w:tc>
          <w:tcPr>
            <w:tcW w:w="2960" w:type="dxa"/>
            <w:vAlign w:val="bottom"/>
          </w:tcPr>
          <w:p>
            <w:pPr>
              <w:spacing w:after="0"/>
              <w:rPr>
                <w:sz w:val="17"/>
                <w:szCs w:val="17"/>
                <w:color w:val="auto"/>
              </w:rPr>
            </w:pPr>
          </w:p>
        </w:tc>
        <w:tc>
          <w:tcPr>
            <w:tcW w:w="2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___________ ___________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Nonoperating income (expense):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Rental income</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618</w:t>
            </w:r>
          </w:p>
        </w:tc>
        <w:tc>
          <w:tcPr>
            <w:tcW w:w="3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5,250</w:t>
            </w:r>
          </w:p>
        </w:tc>
        <w:tc>
          <w:tcPr>
            <w:tcW w:w="6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2,525</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(30,867)</w:t>
            </w:r>
          </w:p>
        </w:tc>
        <w:tc>
          <w:tcPr>
            <w:tcW w:w="3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(30,510)</w:t>
            </w:r>
          </w:p>
        </w:tc>
        <w:tc>
          <w:tcPr>
            <w:tcW w:w="6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(10,122)</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(10,460)</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Miscellaneous income</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25,588</w:t>
            </w:r>
          </w:p>
        </w:tc>
        <w:tc>
          <w:tcPr>
            <w:tcW w:w="3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629</w:t>
            </w:r>
          </w:p>
        </w:tc>
        <w:tc>
          <w:tcPr>
            <w:tcW w:w="6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7,354</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___________</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Nonoperating income</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(expense):</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(4,661)</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(24,631)</w:t>
            </w:r>
          </w:p>
        </w:tc>
        <w:tc>
          <w:tcPr>
            <w:tcW w:w="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(7,935)</w:t>
            </w:r>
          </w:p>
        </w:tc>
      </w:tr>
      <w:tr>
        <w:trPr>
          <w:trHeight w:val="203"/>
        </w:trPr>
        <w:tc>
          <w:tcPr>
            <w:tcW w:w="2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___________</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405"/>
        </w:trPr>
        <w:tc>
          <w:tcPr>
            <w:tcW w:w="2960" w:type="dxa"/>
            <w:vAlign w:val="bottom"/>
          </w:tcPr>
          <w:p>
            <w:pPr>
              <w:ind w:left="640"/>
              <w:spacing w:after="0"/>
              <w:rPr>
                <w:sz w:val="20"/>
                <w:szCs w:val="20"/>
                <w:color w:val="auto"/>
              </w:rPr>
            </w:pPr>
            <w:r>
              <w:rPr>
                <w:rFonts w:ascii="Courier New" w:cs="Courier New" w:eastAsia="Courier New" w:hAnsi="Courier New"/>
                <w:sz w:val="18"/>
                <w:szCs w:val="18"/>
                <w:color w:val="auto"/>
              </w:rPr>
              <w:t>Net loss</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4"/>
              </w:rPr>
              <w:t>(26,625)</w:t>
            </w:r>
          </w:p>
        </w:tc>
        <w:tc>
          <w:tcPr>
            <w:tcW w:w="1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$(133,759)</w:t>
            </w:r>
          </w:p>
        </w:tc>
        <w:tc>
          <w:tcPr>
            <w:tcW w:w="68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(354)</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(37,393)</w:t>
            </w:r>
          </w:p>
        </w:tc>
      </w:tr>
      <w:tr>
        <w:trPr>
          <w:trHeight w:val="203"/>
        </w:trPr>
        <w:tc>
          <w:tcPr>
            <w:tcW w:w="2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___________</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2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___________</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Loss per common and common</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equivalent share</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c>
          <w:tcPr>
            <w:tcW w:w="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2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___________</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2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___________</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6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___________</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ind w:left="3380"/>
        <w:spacing w:after="0" w:line="238" w:lineRule="auto"/>
        <w:rPr>
          <w:sz w:val="20"/>
          <w:szCs w:val="20"/>
          <w:color w:val="auto"/>
        </w:rPr>
      </w:pPr>
      <w:r>
        <w:rPr>
          <w:rFonts w:ascii="Courier New" w:cs="Courier New" w:eastAsia="Courier New" w:hAnsi="Courier New"/>
          <w:sz w:val="18"/>
          <w:szCs w:val="18"/>
          <w:color w:val="auto"/>
        </w:rPr>
        <w:t>INTERACTIVE INC.</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STATEMENT OF STOCKHOLDERS' EQUITY</w:t>
      </w:r>
    </w:p>
    <w:p>
      <w:pPr>
        <w:jc w:val="center"/>
        <w:ind w:right="1679"/>
        <w:spacing w:after="0" w:line="238" w:lineRule="auto"/>
        <w:rPr>
          <w:sz w:val="20"/>
          <w:szCs w:val="20"/>
          <w:color w:val="auto"/>
        </w:rPr>
      </w:pPr>
      <w:r>
        <w:rPr>
          <w:rFonts w:ascii="Courier New" w:cs="Courier New" w:eastAsia="Courier New" w:hAnsi="Courier New"/>
          <w:sz w:val="18"/>
          <w:szCs w:val="18"/>
          <w:color w:val="auto"/>
        </w:rPr>
        <w:t>Nine months ended June 30, 1998</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8"/>
                <w:szCs w:val="18"/>
                <w:color w:val="auto"/>
                <w:w w:val="97"/>
              </w:rPr>
              <w:t>Retained</w:t>
            </w:r>
          </w:p>
        </w:tc>
      </w:tr>
      <w:tr>
        <w:trPr>
          <w:trHeight w:val="203"/>
        </w:trPr>
        <w:tc>
          <w:tcPr>
            <w:tcW w:w="2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Additional</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Earnings</w:t>
            </w:r>
          </w:p>
        </w:tc>
      </w:tr>
      <w:tr>
        <w:trPr>
          <w:trHeight w:val="203"/>
        </w:trPr>
        <w:tc>
          <w:tcPr>
            <w:tcW w:w="2900" w:type="dxa"/>
            <w:vAlign w:val="bottom"/>
          </w:tcPr>
          <w:p>
            <w:pPr>
              <w:spacing w:after="0"/>
              <w:rPr>
                <w:sz w:val="17"/>
                <w:szCs w:val="17"/>
                <w:color w:val="auto"/>
              </w:rPr>
            </w:pPr>
          </w:p>
        </w:tc>
        <w:tc>
          <w:tcPr>
            <w:tcW w:w="2540" w:type="dxa"/>
            <w:vAlign w:val="bottom"/>
            <w:gridSpan w:val="4"/>
          </w:tcPr>
          <w:p>
            <w:pPr>
              <w:jc w:val="right"/>
              <w:ind w:right="192"/>
              <w:spacing w:after="0" w:line="203" w:lineRule="exact"/>
              <w:rPr>
                <w:sz w:val="20"/>
                <w:szCs w:val="20"/>
                <w:color w:val="auto"/>
              </w:rPr>
            </w:pPr>
            <w:r>
              <w:rPr>
                <w:rFonts w:ascii="Courier New" w:cs="Courier New" w:eastAsia="Courier New" w:hAnsi="Courier New"/>
                <w:sz w:val="18"/>
                <w:szCs w:val="18"/>
                <w:color w:val="auto"/>
              </w:rPr>
              <w:t>Capital Stock Issued</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Paid-in</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(Accumulated</w:t>
            </w:r>
          </w:p>
        </w:tc>
      </w:tr>
      <w:tr>
        <w:trPr>
          <w:trHeight w:val="203"/>
        </w:trPr>
        <w:tc>
          <w:tcPr>
            <w:tcW w:w="2900" w:type="dxa"/>
            <w:vAlign w:val="bottom"/>
          </w:tcPr>
          <w:p>
            <w:pPr>
              <w:spacing w:after="0"/>
              <w:rPr>
                <w:sz w:val="17"/>
                <w:szCs w:val="17"/>
                <w:color w:val="auto"/>
              </w:rPr>
            </w:pPr>
          </w:p>
        </w:tc>
        <w:tc>
          <w:tcPr>
            <w:tcW w:w="254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____________________</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Preferred</w:t>
            </w:r>
          </w:p>
        </w:tc>
        <w:tc>
          <w:tcPr>
            <w:tcW w:w="32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Common</w:t>
            </w:r>
          </w:p>
        </w:tc>
        <w:tc>
          <w:tcPr>
            <w:tcW w:w="1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Capital</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Deficit)</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_________</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___________</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Balance, September 30, 1997</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114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3,191</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rPr>
              <w:t>$ 6,834,594</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$(9,414,070)</w:t>
            </w:r>
          </w:p>
        </w:tc>
      </w:tr>
      <w:tr>
        <w:trPr>
          <w:trHeight w:val="405"/>
        </w:trPr>
        <w:tc>
          <w:tcPr>
            <w:tcW w:w="2900" w:type="dxa"/>
            <w:vAlign w:val="bottom"/>
          </w:tcPr>
          <w:p>
            <w:pPr>
              <w:ind w:left="220"/>
              <w:spacing w:after="0"/>
              <w:rPr>
                <w:sz w:val="20"/>
                <w:szCs w:val="20"/>
                <w:color w:val="auto"/>
              </w:rPr>
            </w:pPr>
            <w:r>
              <w:rPr>
                <w:rFonts w:ascii="Courier New" w:cs="Courier New" w:eastAsia="Courier New" w:hAnsi="Courier New"/>
                <w:sz w:val="18"/>
                <w:szCs w:val="18"/>
                <w:color w:val="auto"/>
              </w:rPr>
              <w:t>Issuance of common stock</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services</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2900" w:type="dxa"/>
            <w:vAlign w:val="bottom"/>
          </w:tcPr>
          <w:p>
            <w:pPr>
              <w:ind w:left="220"/>
              <w:spacing w:after="0"/>
              <w:rPr>
                <w:sz w:val="20"/>
                <w:szCs w:val="20"/>
                <w:color w:val="auto"/>
              </w:rPr>
            </w:pPr>
            <w:r>
              <w:rPr>
                <w:rFonts w:ascii="Courier New" w:cs="Courier New" w:eastAsia="Courier New" w:hAnsi="Courier New"/>
                <w:sz w:val="18"/>
                <w:szCs w:val="18"/>
                <w:color w:val="auto"/>
              </w:rPr>
              <w:t>Conversion of preferred</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to common stock</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2900" w:type="dxa"/>
            <w:vAlign w:val="bottom"/>
          </w:tcPr>
          <w:p>
            <w:pPr>
              <w:ind w:left="220"/>
              <w:spacing w:after="0"/>
              <w:rPr>
                <w:sz w:val="20"/>
                <w:szCs w:val="20"/>
                <w:color w:val="auto"/>
              </w:rPr>
            </w:pPr>
            <w:r>
              <w:rPr>
                <w:rFonts w:ascii="Courier New" w:cs="Courier New" w:eastAsia="Courier New" w:hAnsi="Courier New"/>
                <w:sz w:val="18"/>
                <w:szCs w:val="18"/>
                <w:color w:val="auto"/>
              </w:rPr>
              <w:t>Net loss</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(26,625)</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__________</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June 30, 1998</w:t>
            </w:r>
          </w:p>
        </w:tc>
        <w:tc>
          <w:tcPr>
            <w:tcW w:w="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3,266</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  6,834,594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$(9,440,695)</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__________</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__________</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312"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6</w:t>
      </w:r>
    </w:p>
    <w:tbl>
      <w:tblPr>
        <w:tblLayout w:type="fixed"/>
        <w:tblInd w:w="0" w:type="dxa"/>
        <w:tblCellMar>
          <w:top w:w="0" w:type="dxa"/>
          <w:left w:w="0" w:type="dxa"/>
          <w:bottom w:w="0" w:type="dxa"/>
          <w:right w:w="0" w:type="dxa"/>
        </w:tblCellMar>
      </w:tblPr>
      <w:tr>
        <w:trPr>
          <w:trHeight w:val="203"/>
        </w:trPr>
        <w:tc>
          <w:tcPr>
            <w:tcW w:w="5480" w:type="dxa"/>
            <w:vAlign w:val="bottom"/>
          </w:tcPr>
          <w:p>
            <w:pPr>
              <w:ind w:left="3380"/>
              <w:spacing w:after="0" w:line="203" w:lineRule="exact"/>
              <w:rPr>
                <w:sz w:val="20"/>
                <w:szCs w:val="20"/>
                <w:color w:val="auto"/>
              </w:rPr>
            </w:pPr>
            <w:r>
              <w:rPr>
                <w:rFonts w:ascii="Courier New" w:cs="Courier New" w:eastAsia="Courier New" w:hAnsi="Courier New"/>
                <w:sz w:val="18"/>
                <w:szCs w:val="18"/>
                <w:color w:val="auto"/>
              </w:rPr>
              <w:t>INTERACTIVE INC.</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5480" w:type="dxa"/>
            <w:vAlign w:val="bottom"/>
          </w:tcPr>
          <w:p>
            <w:pPr>
              <w:ind w:left="2960"/>
              <w:spacing w:after="0"/>
              <w:rPr>
                <w:sz w:val="20"/>
                <w:szCs w:val="20"/>
                <w:color w:val="auto"/>
              </w:rPr>
            </w:pPr>
            <w:r>
              <w:rPr>
                <w:rFonts w:ascii="Courier New" w:cs="Courier New" w:eastAsia="Courier New" w:hAnsi="Courier New"/>
                <w:sz w:val="18"/>
                <w:szCs w:val="18"/>
                <w:color w:val="auto"/>
                <w:w w:val="96"/>
              </w:rPr>
              <w:t>STATEMENTS OF CASH FLOWS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860" w:type="dxa"/>
            <w:vAlign w:val="bottom"/>
            <w:gridSpan w:val="3"/>
          </w:tcPr>
          <w:p>
            <w:pPr>
              <w:ind w:left="2000"/>
              <w:spacing w:after="0" w:line="203" w:lineRule="exact"/>
              <w:rPr>
                <w:sz w:val="20"/>
                <w:szCs w:val="20"/>
                <w:color w:val="auto"/>
              </w:rPr>
            </w:pPr>
            <w:r>
              <w:rPr>
                <w:rFonts w:ascii="Courier New" w:cs="Courier New" w:eastAsia="Courier New" w:hAnsi="Courier New"/>
                <w:sz w:val="18"/>
                <w:szCs w:val="18"/>
                <w:color w:val="auto"/>
              </w:rPr>
              <w:t>Nine Months Ended June 30, 1998 and 1997</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48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Nine months ended June 30,</w:t>
            </w:r>
          </w:p>
        </w:tc>
      </w:tr>
      <w:tr>
        <w:trPr>
          <w:trHeight w:val="203"/>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c>
          <w:tcPr>
            <w:tcW w:w="4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48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___________</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 FROM OPERATING ACTIVITIES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(26,624)</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(134,024)</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loss to net cash</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13,734</w:t>
            </w:r>
          </w:p>
        </w:tc>
        <w:tc>
          <w:tcPr>
            <w:tcW w:w="4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77,833</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Issuance of common stock for services</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w:t>
            </w:r>
          </w:p>
        </w:tc>
        <w:tc>
          <w:tcPr>
            <w:tcW w:w="4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5,576</w:t>
            </w:r>
          </w:p>
        </w:tc>
      </w:tr>
      <w:tr>
        <w:trPr>
          <w:trHeight w:val="405"/>
        </w:trPr>
        <w:tc>
          <w:tcPr>
            <w:tcW w:w="5480" w:type="dxa"/>
            <w:vAlign w:val="bottom"/>
          </w:tcPr>
          <w:p>
            <w:pPr>
              <w:ind w:left="420"/>
              <w:spacing w:after="0"/>
              <w:rPr>
                <w:sz w:val="20"/>
                <w:szCs w:val="20"/>
                <w:color w:val="auto"/>
              </w:rPr>
            </w:pPr>
            <w:r>
              <w:rPr>
                <w:rFonts w:ascii="Courier New" w:cs="Courier New" w:eastAsia="Courier New" w:hAnsi="Courier New"/>
                <w:sz w:val="18"/>
                <w:szCs w:val="18"/>
                <w:color w:val="auto"/>
              </w:rPr>
              <w:t>Change in assets and liabilities;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receivables</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6,329</w:t>
            </w:r>
          </w:p>
        </w:tc>
        <w:tc>
          <w:tcPr>
            <w:tcW w:w="4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12,470</w:t>
            </w: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(increase) in inventories</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(2,226)</w:t>
            </w:r>
          </w:p>
        </w:tc>
        <w:tc>
          <w:tcPr>
            <w:tcW w:w="4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16,698</w:t>
            </w: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prepaid expenses and other</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4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w:t>
            </w: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accounts payable, trade</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12,200</w:t>
            </w:r>
          </w:p>
        </w:tc>
        <w:tc>
          <w:tcPr>
            <w:tcW w:w="4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4,551</w:t>
            </w: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accounts payable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Torrey Pines Research</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(decrease) in accrued expenses</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(48,375)</w:t>
            </w:r>
          </w:p>
        </w:tc>
        <w:tc>
          <w:tcPr>
            <w:tcW w:w="4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24,830</w:t>
            </w:r>
          </w:p>
        </w:tc>
      </w:tr>
      <w:tr>
        <w:trPr>
          <w:trHeight w:val="203"/>
        </w:trPr>
        <w:tc>
          <w:tcPr>
            <w:tcW w:w="548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___________</w:t>
            </w:r>
          </w:p>
        </w:tc>
      </w:tr>
      <w:tr>
        <w:trPr>
          <w:trHeight w:val="203"/>
        </w:trPr>
        <w:tc>
          <w:tcPr>
            <w:tcW w:w="5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(44,887)</w:t>
            </w:r>
          </w:p>
        </w:tc>
        <w:tc>
          <w:tcPr>
            <w:tcW w:w="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4,665</w:t>
            </w:r>
          </w:p>
        </w:tc>
      </w:tr>
      <w:tr>
        <w:trPr>
          <w:trHeight w:val="203"/>
        </w:trPr>
        <w:tc>
          <w:tcPr>
            <w:tcW w:w="548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___________</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FLOW FROM FINANCING ACTIVITIES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long term debt</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46,000</w:t>
            </w:r>
          </w:p>
        </w:tc>
        <w:tc>
          <w:tcPr>
            <w:tcW w:w="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on long term debt</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(4,431)</w:t>
            </w:r>
          </w:p>
        </w:tc>
      </w:tr>
      <w:tr>
        <w:trPr>
          <w:trHeight w:val="203"/>
        </w:trPr>
        <w:tc>
          <w:tcPr>
            <w:tcW w:w="548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___________</w:t>
            </w:r>
          </w:p>
        </w:tc>
      </w:tr>
      <w:tr>
        <w:trPr>
          <w:trHeight w:val="203"/>
        </w:trPr>
        <w:tc>
          <w:tcPr>
            <w:tcW w:w="5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46,000</w:t>
            </w:r>
          </w:p>
        </w:tc>
        <w:tc>
          <w:tcPr>
            <w:tcW w:w="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(4,431)</w:t>
            </w:r>
          </w:p>
        </w:tc>
      </w:tr>
      <w:tr>
        <w:trPr>
          <w:trHeight w:val="203"/>
        </w:trPr>
        <w:tc>
          <w:tcPr>
            <w:tcW w:w="548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___________</w:t>
            </w:r>
          </w:p>
        </w:tc>
      </w:tr>
      <w:tr>
        <w:trPr>
          <w:trHeight w:val="405"/>
        </w:trPr>
        <w:tc>
          <w:tcPr>
            <w:tcW w:w="5480" w:type="dxa"/>
            <w:vAlign w:val="bottom"/>
          </w:tcPr>
          <w:p>
            <w:pPr>
              <w:ind w:left="860"/>
              <w:spacing w:after="0"/>
              <w:rPr>
                <w:sz w:val="20"/>
                <w:szCs w:val="20"/>
                <w:color w:val="auto"/>
              </w:rPr>
            </w:pPr>
            <w:r>
              <w:rPr>
                <w:rFonts w:ascii="Courier New" w:cs="Courier New" w:eastAsia="Courier New" w:hAnsi="Courier New"/>
                <w:sz w:val="18"/>
                <w:szCs w:val="18"/>
                <w:color w:val="auto"/>
              </w:rPr>
              <w:t>Net increase in cash and cash equivalents</w:t>
            </w:r>
          </w:p>
        </w:tc>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1,113</w:t>
            </w:r>
          </w:p>
        </w:tc>
        <w:tc>
          <w:tcPr>
            <w:tcW w:w="4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234</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1,165</w:t>
            </w:r>
          </w:p>
        </w:tc>
        <w:tc>
          <w:tcPr>
            <w:tcW w:w="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1,034</w:t>
            </w:r>
          </w:p>
        </w:tc>
      </w:tr>
      <w:tr>
        <w:trPr>
          <w:trHeight w:val="203"/>
        </w:trPr>
        <w:tc>
          <w:tcPr>
            <w:tcW w:w="548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___________</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Ending</w:t>
            </w:r>
          </w:p>
        </w:tc>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2,278</w:t>
            </w:r>
          </w:p>
        </w:tc>
        <w:tc>
          <w:tcPr>
            <w:tcW w:w="4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1,268</w:t>
            </w:r>
          </w:p>
        </w:tc>
      </w:tr>
      <w:tr>
        <w:trPr>
          <w:trHeight w:val="203"/>
        </w:trPr>
        <w:tc>
          <w:tcPr>
            <w:tcW w:w="548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___________</w:t>
            </w:r>
          </w:p>
        </w:tc>
      </w:tr>
      <w:tr>
        <w:trPr>
          <w:trHeight w:val="203"/>
        </w:trPr>
        <w:tc>
          <w:tcPr>
            <w:tcW w:w="548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31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ind w:left="3280"/>
        <w:spacing w:after="0" w:line="238" w:lineRule="auto"/>
        <w:rPr>
          <w:sz w:val="20"/>
          <w:szCs w:val="20"/>
          <w:color w:val="auto"/>
        </w:rPr>
      </w:pPr>
      <w:r>
        <w:rPr>
          <w:rFonts w:ascii="Courier New" w:cs="Courier New" w:eastAsia="Courier New" w:hAnsi="Courier New"/>
          <w:sz w:val="18"/>
          <w:szCs w:val="18"/>
          <w:color w:val="auto"/>
        </w:rPr>
        <w:t>INTERACTIVE INC.</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NOTES TO FINANCIAL STATEMENTS</w:t>
      </w:r>
    </w:p>
    <w:p>
      <w:pPr>
        <w:ind w:left="35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Interim Financial Statements</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The financial information presented has been prepared from the books and records without audit but, in the opinion of management, includes all adjustments, consisting of only normal recurring adjustments, necessary for a fair presentation of the financial information for the periods presented. The results of operations for the nine and three months ended June 30, 1998, are not necessarily indicative of the results expected for the entire year.</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Income Taxes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 adopted the Financial Accounting Standards Board Statement No. 109, Accounting for Income Taxes on October 1, 1993. Statement 109 requires that deferred taxes be recorded on a liability method and adjusted when new tax rates are enacted. There was no effect to the Company's financial statements as a result of adopting Statement 109.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June 30, 1998, the Company had a net operating loss carryforward for tax</w:t>
      </w:r>
    </w:p>
    <w:p>
      <w:pPr>
        <w:spacing w:after="0"/>
        <w:tabs>
          <w:tab w:leader="none" w:pos="4100" w:val="left"/>
        </w:tabs>
        <w:rPr>
          <w:sz w:val="20"/>
          <w:szCs w:val="20"/>
          <w:color w:val="auto"/>
        </w:rPr>
      </w:pPr>
      <w:r>
        <w:rPr>
          <w:rFonts w:ascii="Courier New" w:cs="Courier New" w:eastAsia="Courier New" w:hAnsi="Courier New"/>
          <w:sz w:val="18"/>
          <w:szCs w:val="18"/>
          <w:color w:val="auto"/>
        </w:rPr>
        <w:t>purposes of approximately $8,127,000.</w:t>
      </w:r>
      <w:r>
        <w:rPr>
          <w:sz w:val="20"/>
          <w:szCs w:val="20"/>
          <w:color w:val="auto"/>
        </w:rPr>
        <w:tab/>
      </w:r>
      <w:r>
        <w:rPr>
          <w:rFonts w:ascii="Courier New" w:cs="Courier New" w:eastAsia="Courier New" w:hAnsi="Courier New"/>
          <w:sz w:val="16"/>
          <w:szCs w:val="16"/>
          <w:color w:val="auto"/>
        </w:rPr>
        <w:t>For financial reporting purposes,</w:t>
      </w:r>
    </w:p>
    <w:p>
      <w:pPr>
        <w:spacing w:after="0"/>
        <w:rPr>
          <w:sz w:val="20"/>
          <w:szCs w:val="20"/>
          <w:color w:val="auto"/>
        </w:rPr>
      </w:pPr>
      <w:r>
        <w:rPr>
          <w:rFonts w:ascii="Courier New" w:cs="Courier New" w:eastAsia="Courier New" w:hAnsi="Courier New"/>
          <w:sz w:val="18"/>
          <w:szCs w:val="18"/>
          <w:color w:val="auto"/>
        </w:rPr>
        <w:t>the operating loss carryforward is approximately $9,441,000, which represents</w:t>
      </w:r>
    </w:p>
    <w:p>
      <w:pPr>
        <w:spacing w:after="0" w:line="237" w:lineRule="auto"/>
        <w:rPr>
          <w:sz w:val="20"/>
          <w:szCs w:val="20"/>
          <w:color w:val="auto"/>
        </w:rPr>
      </w:pPr>
      <w:r>
        <w:rPr>
          <w:rFonts w:ascii="Courier New" w:cs="Courier New" w:eastAsia="Courier New" w:hAnsi="Courier New"/>
          <w:sz w:val="18"/>
          <w:szCs w:val="18"/>
          <w:color w:val="auto"/>
        </w:rPr>
        <w:t>the amount of future tax deductions for which a tax benefit has not been</w:t>
      </w:r>
    </w:p>
    <w:p>
      <w:pPr>
        <w:spacing w:after="0"/>
        <w:tabs>
          <w:tab w:leader="none" w:pos="4300" w:val="left"/>
        </w:tabs>
        <w:rPr>
          <w:sz w:val="20"/>
          <w:szCs w:val="20"/>
          <w:color w:val="auto"/>
        </w:rPr>
      </w:pPr>
      <w:r>
        <w:rPr>
          <w:rFonts w:ascii="Courier New" w:cs="Courier New" w:eastAsia="Courier New" w:hAnsi="Courier New"/>
          <w:sz w:val="18"/>
          <w:szCs w:val="18"/>
          <w:color w:val="auto"/>
        </w:rPr>
        <w:t>recognized in the financial statements.</w:t>
      </w:r>
      <w:r>
        <w:rPr>
          <w:sz w:val="20"/>
          <w:szCs w:val="20"/>
          <w:color w:val="auto"/>
        </w:rPr>
        <w:tab/>
      </w:r>
      <w:r>
        <w:rPr>
          <w:rFonts w:ascii="Courier New" w:cs="Courier New" w:eastAsia="Courier New" w:hAnsi="Courier New"/>
          <w:sz w:val="16"/>
          <w:szCs w:val="16"/>
          <w:color w:val="auto"/>
        </w:rPr>
        <w:t>No deferred asset has been recorded</w:t>
      </w:r>
    </w:p>
    <w:p>
      <w:pPr>
        <w:spacing w:after="0"/>
        <w:rPr>
          <w:sz w:val="20"/>
          <w:szCs w:val="20"/>
          <w:color w:val="auto"/>
        </w:rPr>
      </w:pPr>
      <w:r>
        <w:rPr>
          <w:rFonts w:ascii="Courier New" w:cs="Courier New" w:eastAsia="Courier New" w:hAnsi="Courier New"/>
          <w:sz w:val="18"/>
          <w:szCs w:val="18"/>
          <w:color w:val="auto"/>
        </w:rPr>
        <w:t>for the benefit of the net operating loss or any other temporary differences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the related valuation allowance would be equal to the net deferred tax asset.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Loss Per Common and Common Equivalent Share</w:t>
      </w:r>
    </w:p>
    <w:p>
      <w:pPr>
        <w:spacing w:after="0" w:line="207" w:lineRule="exact"/>
        <w:rPr>
          <w:sz w:val="20"/>
          <w:szCs w:val="20"/>
          <w:color w:val="auto"/>
        </w:rPr>
      </w:pPr>
    </w:p>
    <w:p>
      <w:pPr>
        <w:jc w:val="both"/>
        <w:ind w:right="2319"/>
        <w:spacing w:after="0" w:line="268" w:lineRule="auto"/>
        <w:rPr>
          <w:sz w:val="20"/>
          <w:szCs w:val="20"/>
          <w:color w:val="auto"/>
        </w:rPr>
      </w:pPr>
      <w:r>
        <w:rPr>
          <w:rFonts w:ascii="Courier New" w:cs="Courier New" w:eastAsia="Courier New" w:hAnsi="Courier New"/>
          <w:sz w:val="16"/>
          <w:szCs w:val="16"/>
          <w:color w:val="auto"/>
        </w:rPr>
        <w:t>The loss per common and common equivalent share has been computed using the weighted average of the number of shares outstanding for the nine and three months ended June, 1998 and 1997. The weighted number of common and common equivalent shares outstanding for the nine and three months ended June 30,</w:t>
      </w:r>
    </w:p>
    <w:p>
      <w:pPr>
        <w:spacing w:after="0" w:line="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1998 and 1997 are 3,193,123, 3,130,059, 3,230,086, and 3,123,109, respectively. The loss per common and common equivalent share assuming full dilution is the same as the loss per common and common equivalent share since the convertible preferred stock, convertible notes and common stock options and warrants have not been included in the computation as their inclusion would be anti-dilutive.</w:t>
      </w:r>
    </w:p>
    <w:p>
      <w:pPr>
        <w:sectPr>
          <w:pgSz w:w="11900" w:h="16838" w:orient="portrait"/>
          <w:cols w:equalWidth="0" w:num="1">
            <w:col w:w="10219"/>
          </w:cols>
          <w:pgMar w:left="240" w:top="312"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spacing w:after="0"/>
        <w:tabs>
          <w:tab w:leader="none" w:pos="940" w:val="left"/>
        </w:tabs>
        <w:rPr>
          <w:sz w:val="20"/>
          <w:szCs w:val="20"/>
          <w:color w:val="auto"/>
        </w:rPr>
      </w:pPr>
      <w:r>
        <w:rPr>
          <w:rFonts w:ascii="Courier New" w:cs="Courier New" w:eastAsia="Courier New" w:hAnsi="Courier New"/>
          <w:sz w:val="18"/>
          <w:szCs w:val="18"/>
          <w:color w:val="auto"/>
        </w:rPr>
        <w:t>Note 4.</w:t>
      </w:r>
      <w:r>
        <w:rPr>
          <w:sz w:val="20"/>
          <w:szCs w:val="20"/>
          <w:color w:val="auto"/>
        </w:rPr>
        <w:tab/>
      </w:r>
      <w:r>
        <w:rPr>
          <w:rFonts w:ascii="Courier New" w:cs="Courier New" w:eastAsia="Courier New" w:hAnsi="Courier New"/>
          <w:sz w:val="16"/>
          <w:szCs w:val="16"/>
          <w:color w:val="auto"/>
        </w:rPr>
        <w:t>Stock Options and Warrants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has a plan to grant incentive stock options to employees and non-statutory stock options to other individuals who provide services to the Company. All options granted are at the discretion of the Board of Directors and vest with the option holder over a 36 or 48 month period of continuous service to the Company. The option price is to be established by the Board of Directors. The Company has 133,333 shares of common stock reserved for options as of June 30, 1998. The following details the stock options issued and outstanding as of June 30, 1998.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2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Options</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Options</w:t>
            </w:r>
          </w:p>
        </w:tc>
        <w:tc>
          <w:tcPr>
            <w:tcW w:w="740" w:type="dxa"/>
            <w:vAlign w:val="bottom"/>
          </w:tcPr>
          <w:p>
            <w:pPr>
              <w:spacing w:after="0"/>
              <w:rPr>
                <w:sz w:val="17"/>
                <w:szCs w:val="17"/>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Option</w:t>
            </w: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ration</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Issued</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Exercisable</w:t>
            </w:r>
          </w:p>
        </w:tc>
        <w:tc>
          <w:tcPr>
            <w:tcW w:w="74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Year</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Ended</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1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_______</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___________</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______</w:t>
            </w:r>
          </w:p>
        </w:tc>
        <w:tc>
          <w:tcPr>
            <w:tcW w:w="1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21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9,334</w:t>
            </w:r>
          </w:p>
        </w:tc>
        <w:tc>
          <w:tcPr>
            <w:tcW w:w="162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9,334</w:t>
            </w:r>
          </w:p>
        </w:tc>
        <w:tc>
          <w:tcPr>
            <w:tcW w:w="74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w:t>
            </w: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200</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21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3,000</w:t>
            </w:r>
          </w:p>
        </w:tc>
        <w:tc>
          <w:tcPr>
            <w:tcW w:w="162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3,000</w:t>
            </w:r>
          </w:p>
        </w:tc>
        <w:tc>
          <w:tcPr>
            <w:tcW w:w="74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w:t>
            </w: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21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4,500</w:t>
            </w:r>
          </w:p>
        </w:tc>
        <w:tc>
          <w:tcPr>
            <w:tcW w:w="162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2,538</w:t>
            </w:r>
          </w:p>
        </w:tc>
        <w:tc>
          <w:tcPr>
            <w:tcW w:w="74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w:t>
            </w: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216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3,000</w:t>
            </w:r>
          </w:p>
        </w:tc>
        <w:tc>
          <w:tcPr>
            <w:tcW w:w="236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3,000</w:t>
            </w:r>
          </w:p>
        </w:tc>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.25</w:t>
            </w:r>
          </w:p>
        </w:tc>
        <w:tc>
          <w:tcPr>
            <w:tcW w:w="520" w:type="dxa"/>
            <w:vAlign w:val="bottom"/>
          </w:tcPr>
          <w:p>
            <w:pPr>
              <w:spacing w:after="0"/>
              <w:rPr>
                <w:sz w:val="17"/>
                <w:szCs w:val="17"/>
                <w:color w:val="auto"/>
              </w:rPr>
            </w:pPr>
          </w:p>
        </w:tc>
      </w:tr>
      <w:tr>
        <w:trPr>
          <w:trHeight w:val="203"/>
        </w:trPr>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2003</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2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18,000</w:t>
            </w:r>
          </w:p>
        </w:tc>
        <w:tc>
          <w:tcPr>
            <w:tcW w:w="162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18,000</w:t>
            </w:r>
          </w:p>
        </w:tc>
        <w:tc>
          <w:tcPr>
            <w:tcW w:w="74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w:t>
            </w: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216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36,000</w:t>
            </w:r>
          </w:p>
        </w:tc>
        <w:tc>
          <w:tcPr>
            <w:tcW w:w="236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33,000</w:t>
            </w:r>
          </w:p>
        </w:tc>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.25</w:t>
            </w:r>
          </w:p>
        </w:tc>
        <w:tc>
          <w:tcPr>
            <w:tcW w:w="520" w:type="dxa"/>
            <w:vAlign w:val="bottom"/>
          </w:tcPr>
          <w:p>
            <w:pPr>
              <w:spacing w:after="0"/>
              <w:rPr>
                <w:sz w:val="17"/>
                <w:szCs w:val="17"/>
                <w:color w:val="auto"/>
              </w:rPr>
            </w:pPr>
          </w:p>
        </w:tc>
      </w:tr>
      <w:tr>
        <w:trPr>
          <w:trHeight w:val="203"/>
        </w:trPr>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2005</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216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10,000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5,616</w:t>
            </w:r>
          </w:p>
        </w:tc>
        <w:tc>
          <w:tcPr>
            <w:tcW w:w="740" w:type="dxa"/>
            <w:vAlign w:val="bottom"/>
          </w:tcPr>
          <w:p>
            <w:pPr>
              <w:spacing w:after="0"/>
              <w:rPr>
                <w:sz w:val="17"/>
                <w:szCs w:val="17"/>
                <w:color w:val="auto"/>
              </w:rPr>
            </w:pP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w:t>
            </w: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006</w:t>
            </w:r>
          </w:p>
        </w:tc>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______</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______</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93,334</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65,274</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______</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______</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Company has issued common stock warrants to purchase shares of common stock at a set price. The following details the common stock warrants issued and outstanding as of June 30, 1998.</w:t>
      </w:r>
    </w:p>
    <w:p>
      <w:pPr>
        <w:sectPr>
          <w:pgSz w:w="11900" w:h="16838" w:orient="portrait"/>
          <w:cols w:equalWidth="0" w:num="1">
            <w:col w:w="10219"/>
          </w:cols>
          <w:pgMar w:left="240" w:top="312" w:right="1440" w:bottom="1440" w:gutter="0" w:footer="0" w:header="0"/>
        </w:sectPr>
      </w:pP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Warrant</w:t>
      </w:r>
    </w:p>
    <w:p>
      <w:pPr>
        <w:spacing w:after="0" w:line="21" w:lineRule="exact"/>
        <w:rPr>
          <w:sz w:val="20"/>
          <w:szCs w:val="20"/>
          <w:color w:val="auto"/>
        </w:rPr>
      </w:pPr>
    </w:p>
    <w:p>
      <w:pPr>
        <w:sectPr>
          <w:pgSz w:w="11900" w:h="16838" w:orient="portrait"/>
          <w:cols w:equalWidth="0" w:num="2">
            <w:col w:w="5080" w:space="720"/>
            <w:col w:w="441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Expiration</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 for refinancing note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Issued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w:t>
      </w:r>
    </w:p>
    <w:p>
      <w:pPr>
        <w:spacing w:after="0" w:line="238" w:lineRule="auto"/>
        <w:rPr>
          <w:sz w:val="20"/>
          <w:szCs w:val="20"/>
          <w:color w:val="auto"/>
        </w:rPr>
      </w:pPr>
      <w:r>
        <w:rPr>
          <w:rFonts w:ascii="Courier New" w:cs="Courier New" w:eastAsia="Courier New" w:hAnsi="Courier New"/>
          <w:sz w:val="18"/>
          <w:szCs w:val="18"/>
          <w:color w:val="auto"/>
        </w:rPr>
        <w:t>1,000,000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Price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w:t>
      </w:r>
    </w:p>
    <w:p>
      <w:pPr>
        <w:spacing w:after="0" w:line="238" w:lineRule="auto"/>
        <w:rPr>
          <w:sz w:val="20"/>
          <w:szCs w:val="20"/>
          <w:color w:val="auto"/>
        </w:rPr>
      </w:pPr>
      <w:r>
        <w:rPr>
          <w:rFonts w:ascii="Courier New" w:cs="Courier New" w:eastAsia="Courier New" w:hAnsi="Courier New"/>
          <w:sz w:val="18"/>
          <w:szCs w:val="18"/>
          <w:color w:val="auto"/>
        </w:rPr>
        <w:t>.50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w:t>
      </w:r>
    </w:p>
    <w:p>
      <w:pPr>
        <w:spacing w:after="0" w:line="238" w:lineRule="auto"/>
        <w:rPr>
          <w:sz w:val="20"/>
          <w:szCs w:val="20"/>
          <w:color w:val="auto"/>
        </w:rPr>
      </w:pPr>
      <w:r>
        <w:rPr>
          <w:rFonts w:ascii="Courier New" w:cs="Courier New" w:eastAsia="Courier New" w:hAnsi="Courier New"/>
          <w:sz w:val="18"/>
          <w:szCs w:val="18"/>
          <w:color w:val="auto"/>
        </w:rPr>
        <w:t>6-30-99</w:t>
      </w:r>
    </w:p>
    <w:p>
      <w:pPr>
        <w:spacing w:after="0" w:line="200" w:lineRule="exact"/>
        <w:rPr>
          <w:sz w:val="20"/>
          <w:szCs w:val="20"/>
          <w:color w:val="auto"/>
        </w:rPr>
      </w:pPr>
    </w:p>
    <w:p>
      <w:pPr>
        <w:sectPr>
          <w:pgSz w:w="11900" w:h="16838" w:orient="portrait"/>
          <w:cols w:equalWidth="0" w:num="4">
            <w:col w:w="3060" w:space="640"/>
            <w:col w:w="1040" w:space="640"/>
            <w:col w:w="1160" w:space="640"/>
            <w:col w:w="303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Bank Line of Credit</w:t>
      </w:r>
    </w:p>
    <w:p>
      <w:pPr>
        <w:spacing w:after="0" w:line="200" w:lineRule="exact"/>
        <w:rPr>
          <w:sz w:val="20"/>
          <w:szCs w:val="20"/>
          <w:color w:val="auto"/>
        </w:rPr>
      </w:pPr>
    </w:p>
    <w:p>
      <w:pPr>
        <w:sectPr>
          <w:pgSz w:w="11900" w:h="16838" w:orient="portrait"/>
          <w:cols w:equalWidth="0" w:num="2">
            <w:col w:w="740" w:space="220"/>
            <w:col w:w="9259"/>
          </w:cols>
          <w:pgMar w:left="240" w:top="312" w:right="1440" w:bottom="1440" w:gutter="0" w:footer="0" w:header="0"/>
          <w:type w:val="continuous"/>
        </w:sectPr>
      </w:pPr>
    </w:p>
    <w:p>
      <w:pPr>
        <w:spacing w:after="0" w:line="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had a line-of-credit aggregating $213,500 from a bank. The line was at a variable interest rate of .75% over the banks commercial base rate (10.43% at March 31, 1998), with interest on the outstanding balance due monthly. The Company was unable to pay the principle or the monthly interest payments, but accrued the interest. The line was secured by substantially all of the assets of the Company. In May of 1998 the note was purchased from the bank by Robert Stahl, a related party.</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960" w:right="2619" w:hanging="1474"/>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The Company is delinquent on its interest payments on its former bank line of credit, most of its subordinated long term notes, its leases and most of its trade accounts payable. The Company has several judgments against it and several more threatened as a result of its inability to pay its obligations to its unsecured trade creditors. The judgments are all from unsecured</w:t>
      </w:r>
    </w:p>
    <w:p>
      <w:pPr>
        <w:spacing w:after="0" w:line="234" w:lineRule="auto"/>
        <w:rPr>
          <w:sz w:val="20"/>
          <w:szCs w:val="20"/>
          <w:color w:val="auto"/>
        </w:rPr>
      </w:pPr>
      <w:r>
        <w:rPr>
          <w:rFonts w:ascii="Courier New" w:cs="Courier New" w:eastAsia="Courier New" w:hAnsi="Courier New"/>
          <w:sz w:val="18"/>
          <w:szCs w:val="18"/>
          <w:color w:val="auto"/>
        </w:rPr>
        <w:t>creditors which the Company is no longer using for ongoing operations and the</w:t>
      </w:r>
    </w:p>
    <w:p>
      <w:pPr>
        <w:spacing w:after="0"/>
        <w:rPr>
          <w:sz w:val="20"/>
          <w:szCs w:val="20"/>
          <w:color w:val="auto"/>
        </w:rPr>
      </w:pPr>
      <w:r>
        <w:rPr>
          <w:rFonts w:ascii="Courier New" w:cs="Courier New" w:eastAsia="Courier New" w:hAnsi="Courier New"/>
          <w:sz w:val="18"/>
          <w:szCs w:val="18"/>
          <w:color w:val="auto"/>
        </w:rPr>
        <w:t>Company does not intend to pay these unsecured debts until its obligations</w:t>
      </w:r>
    </w:p>
    <w:p>
      <w:pPr>
        <w:spacing w:after="0"/>
        <w:tabs>
          <w:tab w:leader="none" w:pos="4300" w:val="left"/>
        </w:tabs>
        <w:rPr>
          <w:sz w:val="20"/>
          <w:szCs w:val="20"/>
          <w:color w:val="auto"/>
        </w:rPr>
      </w:pPr>
      <w:r>
        <w:rPr>
          <w:rFonts w:ascii="Courier New" w:cs="Courier New" w:eastAsia="Courier New" w:hAnsi="Courier New"/>
          <w:sz w:val="18"/>
          <w:szCs w:val="18"/>
          <w:color w:val="auto"/>
        </w:rPr>
        <w:t>to its secured creditors are satisfied.</w:t>
      </w:r>
      <w:r>
        <w:rPr>
          <w:sz w:val="20"/>
          <w:szCs w:val="20"/>
          <w:color w:val="auto"/>
        </w:rPr>
        <w:tab/>
      </w:r>
      <w:r>
        <w:rPr>
          <w:rFonts w:ascii="Courier New" w:cs="Courier New" w:eastAsia="Courier New" w:hAnsi="Courier New"/>
          <w:sz w:val="16"/>
          <w:szCs w:val="16"/>
          <w:color w:val="auto"/>
        </w:rPr>
        <w:t>The exposure to judgments could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all of the current liabilities, which total $2,648,177 at June 30, 1998.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currently feels that the best possibility it has available to</w:t>
      </w:r>
    </w:p>
    <w:p>
      <w:pPr>
        <w:spacing w:after="0" w:line="238" w:lineRule="auto"/>
        <w:rPr>
          <w:sz w:val="20"/>
          <w:szCs w:val="20"/>
          <w:color w:val="auto"/>
        </w:rPr>
      </w:pPr>
      <w:r>
        <w:rPr>
          <w:rFonts w:ascii="Courier New" w:cs="Courier New" w:eastAsia="Courier New" w:hAnsi="Courier New"/>
          <w:sz w:val="18"/>
          <w:szCs w:val="18"/>
          <w:color w:val="auto"/>
        </w:rPr>
        <w:t>repay its secured and unsecured creditors and to return value to its</w:t>
      </w:r>
    </w:p>
    <w:p>
      <w:pPr>
        <w:spacing w:after="0"/>
        <w:rPr>
          <w:sz w:val="20"/>
          <w:szCs w:val="20"/>
          <w:color w:val="auto"/>
        </w:rPr>
      </w:pPr>
      <w:r>
        <w:rPr>
          <w:rFonts w:ascii="Courier New" w:cs="Courier New" w:eastAsia="Courier New" w:hAnsi="Courier New"/>
          <w:sz w:val="18"/>
          <w:szCs w:val="18"/>
          <w:color w:val="auto"/>
        </w:rPr>
        <w:t>stockholders is to continue to operate the Company and to work out long term</w:t>
      </w:r>
    </w:p>
    <w:p>
      <w:pPr>
        <w:spacing w:after="0" w:line="3"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payment plans if it is able to do so in the future. While the Company does not expect that it will be forced into bankruptcy by its secured or unsecured creditors, there can be no assurance that this will not happen because of the Company's inability to meet its obligations to its creditors. The Company believes that a liquidation of its assets would only satisfy a small portion of the Company's obligations to its secured creditors and provide nothing for the Company's unsecured creditors or its stockholders.</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inventory of SoundXchange hardware, which, as of June 30, 1998, accounted for approximately 76.9% of the Company's current assets, is liquid only to the extent of the Company's sales of such product. The Company has made minor engineering changes in the product in order to be aboe t9 utilize the inventory for newly developing markets and the Company hopes to continue to be able to do so in the future. Although, there can be not gurantee that this will increase sales of the SoundXchange hardware, the Company believes that an increase in sales will occur allowing the Company to recuce its inventory of the SoundXchange hardware at a profit.</w:t>
      </w:r>
    </w:p>
    <w:p>
      <w:pPr>
        <w:spacing w:after="0" w:line="214"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 Company was also unable to pay its auditor in order to have audited financial statements for years ended September 30, 1994, 1995, 1996 and 1997. The absence of audited financial statements may jeopardize the ability of the Company to continue as a reporting Company and may jeopardize the ability for the Company's stock to continue to trade on the OTC Bulletin Board.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Revenue.</w:t>
      </w:r>
      <w:r>
        <w:rPr>
          <w:sz w:val="20"/>
          <w:szCs w:val="20"/>
          <w:color w:val="auto"/>
        </w:rPr>
        <w:tab/>
      </w:r>
      <w:r>
        <w:rPr>
          <w:rFonts w:ascii="Courier New" w:cs="Courier New" w:eastAsia="Courier New" w:hAnsi="Courier New"/>
          <w:sz w:val="16"/>
          <w:szCs w:val="16"/>
          <w:color w:val="auto"/>
        </w:rPr>
        <w:t>Net sales for the nine months ended June 30, 1998 and 1997 were</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$49,500 and $61,600, respectively. Net sales for the first three quarters of 1998 were down primarily due to a reduction in slaes and marketing and a reduction in advertising expenditures.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Gross Profit. The gross margin for th nine months ended June 30, 1998 was approximately 45% down from a gross margin of 53% for the nine months ended June 30, 1997. The decrease from the previous year is due primarily to a decrease in sales of the higher profit margin SounXchange Model K and Model T and an increase in sales of the SoundXchange Model VC with its relatively lower profit margin.</w:t>
      </w:r>
    </w:p>
    <w:p>
      <w:pPr>
        <w:spacing w:after="0" w:line="210"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Sales and marketing expenses. Sales and marketing expenses for the nine months ended June 30, 1998 and 1997 were $25,000 and $51,000, respectively. In the first thee quarters of fiscal 1998, the Company did not pursue advertising efforts similar in magnitude to those in 1997. The Company also reduced the number of sales and marketing employees from fiscal 1997 to fiscal 1998.</w:t>
      </w:r>
    </w:p>
    <w:p>
      <w:pPr>
        <w:sectPr>
          <w:pgSz w:w="11900" w:h="16838" w:orient="portrait"/>
          <w:cols w:equalWidth="0" w:num="1">
            <w:col w:w="10219"/>
          </w:cols>
          <w:pgMar w:left="240" w:top="312"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Research and development. There were no research and development expenses for the nine months ended June 30, 1998. The Company does not have any employees currently engaged in research, product development and engineering, but the Company currently has access, through a temporary consulting arrangement with Torrey Pines Research (TPR), the Company's former key research and development employees who are now employees of TPR. Although TPR is a stockholder of InterActive, and TPR has performed as a strategic partner in past development efforts of InterActive, there can be no assurance that TPR will continue to provide InterActive consulting service because of InterActive's current inability to pay for those consulting services. There were no amounts capitalized in connection with software development for the nine months ended June 30, 1998 and 1997. Software development amortization expense for the nine months ended June 30, 1998 and 1997 were $0 and $64,100, respectively.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General and administrative. General and administrative expenses for the nine months ended June 30, 1998 and 1997 were $9,500 and $9,200, respectively.</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Depreciation and Amortization. Depreciation and amortization expenses for the nine months ended June 30, 1998 and 1997 were $13,700 and $77,800, respectively. The decrease in depreciation and amortization expense was due primarily to a one time write down of assets at fiscal year end 1997.</w:t>
      </w:r>
    </w:p>
    <w:p>
      <w:pPr>
        <w:spacing w:after="0" w:line="207"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Nonoperating Income (Expense). Nonoperating income (expense) for the nine months ended June 30, 1998 and 1997 were ($4,700) and ($24,600) respectively. The decrease in nonoperating expense was a result of income shown from recapture of inventory which was written down at September 30, 1997.</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Loss. The Company suffered a net loss for the nine months ended June 30, 1998 of $26,600 or $0.01 per share on 3,193,123 weighted average shares outstanding compared to a net loss for the nine months ended June 30, 1997 of $133,800 or $0.04 per share on 3,130,059 weighted average shares outstanding. The decrease in net loss was primarily a result of an agreement with the South Dakota Department of Revenue which reduced the use tax liability to the state. This liability was realized during the first nine months of fiscal 1997.</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Management believes that the largest challenges that the Company will continue to confront during 199 are to obtain adequate financing and in achieving its goal of positive cash flow and profitability. While the Company is optimistic about the possibility of its overcoming these challenges and achieving its goals, there can be no assurance that it will be able to achieve any or all of its objectives.</w:t>
      </w:r>
    </w:p>
    <w:p>
      <w:pPr>
        <w:sectPr>
          <w:pgSz w:w="11900" w:h="16838" w:orient="portrait"/>
          <w:cols w:equalWidth="0" w:num="1">
            <w:col w:w="10219"/>
          </w:cols>
          <w:pgMar w:left="240" w:top="31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spacing w:after="0"/>
        <w:tabs>
          <w:tab w:leader="none" w:pos="9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Company has several judgments against it and several more threatened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result of its inability to pay its obligations to its unsecured trade creditors. The judgments are all from unsecured creditors which the Company is no longer using for on going operations and the Company does not intend to pay these unsecured debts until its obligations to its secured creditors are satisfied.</w:t>
      </w:r>
    </w:p>
    <w:p>
      <w:pPr>
        <w:spacing w:after="0" w:line="18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 currently feels that the best possibility it has available to repay its secured and unsecured creditors and to return value to its stockholders is to continue to operate the Company and to work out long term payment plans if it is able to do so in the future. While the Company does not expect that it will be forced into bankruptcy by its secured or unsecured creditors, there can be no assurance that this will not happen because of the Company's inability to meet its obligations to its creditors. The Company believe that a liquidation of its assets would only satisfy a small portion of the company's obligations to its secured creditors and provide nothing for the Company's unsecured creditors or its stockholders.</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ind w:left="42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ind w:left="42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ind w:left="42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ind w:left="42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960" w:right="8099" w:hanging="320"/>
        <w:spacing w:after="0" w:line="290" w:lineRule="auto"/>
        <w:tabs>
          <w:tab w:leader="none" w:pos="117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None</w:t>
      </w:r>
    </w:p>
    <w:p>
      <w:pPr>
        <w:spacing w:after="0" w:line="164"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319" w:firstLine="421"/>
        <w:spacing w:after="0" w:line="236" w:lineRule="auto"/>
        <w:rPr>
          <w:sz w:val="20"/>
          <w:szCs w:val="20"/>
          <w:color w:val="auto"/>
        </w:rPr>
      </w:pPr>
      <w:r>
        <w:rPr>
          <w:rFonts w:ascii="Courier New" w:cs="Courier New" w:eastAsia="Courier New" w:hAnsi="Courier New"/>
          <w:sz w:val="18"/>
          <w:szCs w:val="18"/>
          <w:color w:val="auto"/>
        </w:rPr>
        <w:t>In accordance with the requirements of the Exchange Act, the registrant caused this report to be signed on its behalf by the undersigned, thereunto duly authorized.</w:t>
      </w:r>
    </w:p>
    <w:p>
      <w:pPr>
        <w:spacing w:after="0" w:line="203" w:lineRule="exact"/>
        <w:rPr>
          <w:sz w:val="20"/>
          <w:szCs w:val="20"/>
          <w:color w:val="auto"/>
        </w:rPr>
      </w:pPr>
    </w:p>
    <w:p>
      <w:pPr>
        <w:ind w:left="420"/>
        <w:spacing w:after="0"/>
        <w:tabs>
          <w:tab w:leader="none" w:pos="1260" w:val="left"/>
          <w:tab w:leader="none" w:pos="4100" w:val="left"/>
        </w:tabs>
        <w:rPr>
          <w:sz w:val="20"/>
          <w:szCs w:val="20"/>
          <w:color w:val="auto"/>
        </w:rPr>
      </w:pPr>
      <w:r>
        <w:rPr>
          <w:rFonts w:ascii="Courier New" w:cs="Courier New" w:eastAsia="Courier New" w:hAnsi="Courier New"/>
          <w:sz w:val="18"/>
          <w:szCs w:val="18"/>
          <w:color w:val="auto"/>
        </w:rPr>
        <w:t>Dated:</w:t>
        <w:tab/>
        <w:t>August 7, 1998</w:t>
      </w:r>
      <w:r>
        <w:rPr>
          <w:sz w:val="20"/>
          <w:szCs w:val="20"/>
          <w:color w:val="auto"/>
        </w:rPr>
        <w:tab/>
      </w:r>
      <w:r>
        <w:rPr>
          <w:rFonts w:ascii="Courier New" w:cs="Courier New" w:eastAsia="Courier New" w:hAnsi="Courier New"/>
          <w:sz w:val="16"/>
          <w:szCs w:val="16"/>
          <w:color w:val="auto"/>
        </w:rPr>
        <w:t>INTERACTIVE INC.</w:t>
      </w:r>
    </w:p>
    <w:p>
      <w:pPr>
        <w:spacing w:after="0" w:line="200" w:lineRule="exact"/>
        <w:rPr>
          <w:sz w:val="20"/>
          <w:szCs w:val="20"/>
          <w:color w:val="auto"/>
        </w:rPr>
      </w:pPr>
    </w:p>
    <w:p>
      <w:pPr>
        <w:spacing w:after="0" w:line="20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/s/ Robert</w:t>
      </w:r>
    </w:p>
    <w:p>
      <w:pPr>
        <w:spacing w:after="0" w:line="238" w:lineRule="auto"/>
        <w:rPr>
          <w:sz w:val="20"/>
          <w:szCs w:val="20"/>
          <w:color w:val="auto"/>
        </w:rPr>
      </w:pPr>
      <w:r>
        <w:rPr>
          <w:rFonts w:ascii="Courier New" w:cs="Courier New" w:eastAsia="Courier New" w:hAnsi="Courier New"/>
          <w:sz w:val="18"/>
          <w:szCs w:val="18"/>
          <w:color w:val="auto"/>
        </w:rPr>
        <w:t>Stahl</w:t>
      </w:r>
    </w:p>
    <w:p>
      <w:pPr>
        <w:ind w:left="4860"/>
        <w:spacing w:after="0"/>
        <w:rPr>
          <w:sz w:val="20"/>
          <w:szCs w:val="20"/>
          <w:color w:val="auto"/>
        </w:rPr>
      </w:pPr>
      <w:r>
        <w:rPr>
          <w:rFonts w:ascii="Courier New" w:cs="Courier New" w:eastAsia="Courier New" w:hAnsi="Courier New"/>
          <w:sz w:val="18"/>
          <w:szCs w:val="18"/>
          <w:color w:val="auto"/>
        </w:rPr>
        <w:t>_____________________</w:t>
      </w:r>
    </w:p>
    <w:p>
      <w:pPr>
        <w:ind w:left="5700"/>
        <w:spacing w:after="0" w:line="237" w:lineRule="auto"/>
        <w:rPr>
          <w:sz w:val="20"/>
          <w:szCs w:val="20"/>
          <w:color w:val="auto"/>
        </w:rPr>
      </w:pPr>
      <w:r>
        <w:rPr>
          <w:rFonts w:ascii="Courier New" w:cs="Courier New" w:eastAsia="Courier New" w:hAnsi="Courier New"/>
          <w:sz w:val="18"/>
          <w:szCs w:val="18"/>
          <w:color w:val="auto"/>
        </w:rPr>
        <w:t>Robert Stahl</w:t>
      </w:r>
    </w:p>
    <w:p>
      <w:pPr>
        <w:ind w:left="570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/s/ Gerard</w:t>
      </w:r>
    </w:p>
    <w:p>
      <w:pPr>
        <w:spacing w:after="0" w:line="238" w:lineRule="auto"/>
        <w:rPr>
          <w:sz w:val="20"/>
          <w:szCs w:val="20"/>
          <w:color w:val="auto"/>
        </w:rPr>
      </w:pPr>
      <w:r>
        <w:rPr>
          <w:rFonts w:ascii="Courier New" w:cs="Courier New" w:eastAsia="Courier New" w:hAnsi="Courier New"/>
          <w:sz w:val="18"/>
          <w:szCs w:val="18"/>
          <w:color w:val="auto"/>
        </w:rPr>
        <w:t>L. Kappenman</w:t>
      </w:r>
    </w:p>
    <w:p>
      <w:pPr>
        <w:ind w:left="4860"/>
        <w:spacing w:after="0"/>
        <w:rPr>
          <w:sz w:val="20"/>
          <w:szCs w:val="20"/>
          <w:color w:val="auto"/>
        </w:rPr>
      </w:pPr>
      <w:r>
        <w:rPr>
          <w:rFonts w:ascii="Courier New" w:cs="Courier New" w:eastAsia="Courier New" w:hAnsi="Courier New"/>
          <w:sz w:val="18"/>
          <w:szCs w:val="18"/>
          <w:color w:val="auto"/>
        </w:rPr>
        <w:t>_______________________</w:t>
      </w:r>
    </w:p>
    <w:p>
      <w:pPr>
        <w:jc w:val="right"/>
        <w:ind w:right="2519"/>
        <w:spacing w:after="0" w:line="237" w:lineRule="auto"/>
        <w:rPr>
          <w:sz w:val="20"/>
          <w:szCs w:val="20"/>
          <w:color w:val="auto"/>
        </w:rPr>
      </w:pPr>
      <w:r>
        <w:rPr>
          <w:rFonts w:ascii="Courier New" w:cs="Courier New" w:eastAsia="Courier New" w:hAnsi="Courier New"/>
          <w:sz w:val="18"/>
          <w:szCs w:val="18"/>
          <w:color w:val="auto"/>
        </w:rPr>
        <w:t>Gerard L. Kappenman</w:t>
      </w:r>
    </w:p>
    <w:p>
      <w:pPr>
        <w:jc w:val="right"/>
        <w:ind w:right="2519"/>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lvl w:ilvl="1">
      <w:lvlJc w:val="left"/>
      <w:lvlText w:val="(%2)"/>
      <w:numFmt w:val="lowerLetter"/>
      <w:start w:val="1"/>
    </w:lvl>
  </w:abstractNum>
  <w:abstractNum w:abstractNumId="3">
    <w:nsid w:val="625558EC"/>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2019-12-13T20:45:15Z</dcterms:created>
  <dcterms:modified xsi:type="dcterms:W3CDTF">2019-12-13T20:45:15Z</dcterms:modified>
</cp:coreProperties>
</file>